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4C4" w:rsidRPr="00AD4F05" w:rsidRDefault="006544C4" w:rsidP="00907825">
      <w:pPr>
        <w:jc w:val="center"/>
        <w:rPr>
          <w:lang w:val="fr-FR"/>
        </w:rPr>
      </w:pPr>
      <w:bookmarkStart w:id="0" w:name="_GoBack"/>
      <w:bookmarkEnd w:id="0"/>
    </w:p>
    <w:p w:rsidR="006544C4" w:rsidRPr="00AD4F05" w:rsidRDefault="006544C4" w:rsidP="00907825">
      <w:pPr>
        <w:jc w:val="center"/>
        <w:rPr>
          <w:lang w:val="fr-FR"/>
        </w:rPr>
      </w:pPr>
    </w:p>
    <w:p w:rsidR="006544C4" w:rsidRPr="0048597F" w:rsidRDefault="00FC0134" w:rsidP="00907825">
      <w:pPr>
        <w:pStyle w:val="DecHTitle"/>
        <w:rPr>
          <w:lang w:val="it-IT"/>
        </w:rPr>
      </w:pPr>
      <w:r w:rsidRPr="0048597F">
        <w:rPr>
          <w:szCs w:val="24"/>
          <w:lang w:val="it-IT"/>
        </w:rPr>
        <w:t>QUATRIÈME SECTION</w:t>
      </w:r>
    </w:p>
    <w:p w:rsidR="006544C4" w:rsidRPr="0048597F" w:rsidRDefault="006544C4" w:rsidP="00907825">
      <w:pPr>
        <w:pStyle w:val="DecHTitle"/>
        <w:rPr>
          <w:caps/>
          <w:sz w:val="32"/>
          <w:lang w:val="it-IT"/>
        </w:rPr>
      </w:pPr>
      <w:r w:rsidRPr="0048597F">
        <w:rPr>
          <w:lang w:val="it-IT"/>
        </w:rPr>
        <w:t>DÉCISION</w:t>
      </w:r>
    </w:p>
    <w:p w:rsidR="006544C4" w:rsidRPr="0048597F" w:rsidRDefault="00FC0134" w:rsidP="00907825">
      <w:pPr>
        <w:pStyle w:val="ECHRTitleCentre2"/>
        <w:rPr>
          <w:lang w:val="it-IT"/>
        </w:rPr>
      </w:pPr>
      <w:proofErr w:type="spellStart"/>
      <w:r w:rsidRPr="0048597F">
        <w:rPr>
          <w:lang w:val="it-IT"/>
        </w:rPr>
        <w:t>Requête</w:t>
      </w:r>
      <w:proofErr w:type="spellEnd"/>
      <w:r w:rsidRPr="0048597F">
        <w:rPr>
          <w:lang w:val="it-IT"/>
        </w:rPr>
        <w:t xml:space="preserve"> n</w:t>
      </w:r>
      <w:r w:rsidRPr="0048597F">
        <w:rPr>
          <w:vertAlign w:val="superscript"/>
          <w:lang w:val="it-IT"/>
        </w:rPr>
        <w:t>o</w:t>
      </w:r>
      <w:r w:rsidR="006544C4" w:rsidRPr="0048597F">
        <w:rPr>
          <w:lang w:val="it-IT"/>
        </w:rPr>
        <w:t xml:space="preserve"> </w:t>
      </w:r>
      <w:r w:rsidRPr="0048597F">
        <w:rPr>
          <w:lang w:val="it-IT"/>
        </w:rPr>
        <w:t>44291/15</w:t>
      </w:r>
      <w:r w:rsidR="006544C4" w:rsidRPr="0048597F">
        <w:rPr>
          <w:lang w:val="it-IT"/>
        </w:rPr>
        <w:br/>
      </w:r>
      <w:r w:rsidRPr="0048597F">
        <w:rPr>
          <w:lang w:val="it-IT"/>
        </w:rPr>
        <w:t>Giovanni RINALDI et Salvatore CANNOVA</w:t>
      </w:r>
      <w:r w:rsidRPr="0048597F">
        <w:rPr>
          <w:lang w:val="it-IT"/>
        </w:rPr>
        <w:br/>
      </w:r>
      <w:proofErr w:type="spellStart"/>
      <w:r w:rsidR="006544C4" w:rsidRPr="0048597F">
        <w:rPr>
          <w:lang w:val="it-IT"/>
        </w:rPr>
        <w:t>contre</w:t>
      </w:r>
      <w:proofErr w:type="spellEnd"/>
      <w:r w:rsidR="006544C4" w:rsidRPr="0048597F">
        <w:rPr>
          <w:lang w:val="it-IT"/>
        </w:rPr>
        <w:t xml:space="preserve"> </w:t>
      </w:r>
      <w:r w:rsidRPr="0048597F">
        <w:rPr>
          <w:lang w:val="it-IT"/>
        </w:rPr>
        <w:t>l</w:t>
      </w:r>
      <w:r w:rsidR="00252B50">
        <w:rPr>
          <w:lang w:val="it-IT"/>
        </w:rPr>
        <w:t>’</w:t>
      </w:r>
      <w:proofErr w:type="spellStart"/>
      <w:r w:rsidRPr="0048597F">
        <w:rPr>
          <w:lang w:val="it-IT"/>
        </w:rPr>
        <w:t>Italie</w:t>
      </w:r>
      <w:proofErr w:type="spellEnd"/>
    </w:p>
    <w:p w:rsidR="00FC0134" w:rsidRDefault="00FC0134" w:rsidP="00E35D64">
      <w:pPr>
        <w:pStyle w:val="ECHRPara"/>
        <w:rPr>
          <w:lang w:val="fr-FR"/>
        </w:rPr>
      </w:pPr>
      <w:r w:rsidRPr="007E6F7B">
        <w:rPr>
          <w:lang w:val="fr-FR"/>
        </w:rPr>
        <w:t>La Cour européenne des droits de l</w:t>
      </w:r>
      <w:r w:rsidR="00252B50">
        <w:rPr>
          <w:lang w:val="fr-FR"/>
        </w:rPr>
        <w:t>’</w:t>
      </w:r>
      <w:r w:rsidRPr="007E6F7B">
        <w:rPr>
          <w:lang w:val="fr-FR"/>
        </w:rPr>
        <w:t>homme (</w:t>
      </w:r>
      <w:r>
        <w:rPr>
          <w:lang w:val="fr-FR"/>
        </w:rPr>
        <w:t>quatrième section</w:t>
      </w:r>
      <w:r w:rsidRPr="007E6F7B">
        <w:rPr>
          <w:lang w:val="fr-FR"/>
        </w:rPr>
        <w:t xml:space="preserve">), siégeant le </w:t>
      </w:r>
      <w:r>
        <w:rPr>
          <w:lang w:val="fr-FR"/>
        </w:rPr>
        <w:t>22 octobre 2015</w:t>
      </w:r>
      <w:r w:rsidRPr="007E6F7B">
        <w:rPr>
          <w:lang w:val="fr-FR"/>
        </w:rPr>
        <w:t xml:space="preserve"> en un comité composé</w:t>
      </w:r>
      <w:r>
        <w:rPr>
          <w:lang w:val="fr-FR"/>
        </w:rPr>
        <w:t xml:space="preserve"> de</w:t>
      </w:r>
    </w:p>
    <w:p w:rsidR="00FC0134" w:rsidRDefault="00FC0134" w:rsidP="00252B50">
      <w:pPr>
        <w:pStyle w:val="ECHRDecisionBody"/>
        <w:rPr>
          <w:i/>
          <w:lang w:val="it-IT"/>
        </w:rPr>
      </w:pPr>
      <w:r w:rsidRPr="00FC0134">
        <w:rPr>
          <w:lang w:val="fr-FR"/>
        </w:rPr>
        <w:tab/>
      </w:r>
      <w:r w:rsidRPr="00FC0134">
        <w:rPr>
          <w:lang w:val="it-IT"/>
        </w:rPr>
        <w:t xml:space="preserve">Nona </w:t>
      </w:r>
      <w:proofErr w:type="spellStart"/>
      <w:r w:rsidRPr="00FC0134">
        <w:rPr>
          <w:lang w:val="it-IT"/>
        </w:rPr>
        <w:t>Tsotsoria</w:t>
      </w:r>
      <w:proofErr w:type="spellEnd"/>
      <w:r w:rsidRPr="00FC0134">
        <w:rPr>
          <w:lang w:val="it-IT"/>
        </w:rPr>
        <w:t>,</w:t>
      </w:r>
      <w:r w:rsidRPr="00FC0134">
        <w:rPr>
          <w:i/>
          <w:lang w:val="it-IT"/>
        </w:rPr>
        <w:t xml:space="preserve"> </w:t>
      </w:r>
      <w:proofErr w:type="spellStart"/>
      <w:r w:rsidRPr="00FC0134">
        <w:rPr>
          <w:i/>
          <w:lang w:val="it-IT"/>
        </w:rPr>
        <w:t>présidente</w:t>
      </w:r>
      <w:proofErr w:type="spellEnd"/>
      <w:r w:rsidRPr="00FC0134">
        <w:rPr>
          <w:i/>
          <w:lang w:val="it-IT"/>
        </w:rPr>
        <w:t>,</w:t>
      </w:r>
    </w:p>
    <w:p w:rsidR="00FC0134" w:rsidRDefault="00FC0134" w:rsidP="00252B50">
      <w:pPr>
        <w:pStyle w:val="ECHRDecisionBody"/>
        <w:rPr>
          <w:lang w:val="it-IT"/>
        </w:rPr>
      </w:pPr>
      <w:r w:rsidRPr="00FC0134">
        <w:rPr>
          <w:lang w:val="it-IT"/>
        </w:rPr>
        <w:tab/>
        <w:t>Ledi Bianku,</w:t>
      </w:r>
    </w:p>
    <w:p w:rsidR="00FC0134" w:rsidRPr="0048597F" w:rsidRDefault="00FC0134" w:rsidP="00252B50">
      <w:pPr>
        <w:pStyle w:val="ECHRDecisionBody"/>
        <w:rPr>
          <w:lang w:val="fr-FR"/>
        </w:rPr>
      </w:pPr>
      <w:r w:rsidRPr="00FC0134">
        <w:rPr>
          <w:lang w:val="it-IT"/>
        </w:rPr>
        <w:tab/>
      </w:r>
      <w:r w:rsidRPr="0048597F">
        <w:rPr>
          <w:lang w:val="fr-FR"/>
        </w:rPr>
        <w:t>Paul Mahoney,</w:t>
      </w:r>
      <w:r w:rsidRPr="0048597F">
        <w:rPr>
          <w:i/>
          <w:lang w:val="fr-FR"/>
        </w:rPr>
        <w:t xml:space="preserve"> juges,</w:t>
      </w:r>
    </w:p>
    <w:p w:rsidR="00FC0134" w:rsidRPr="007E6F7B" w:rsidRDefault="00FC0134" w:rsidP="00252B50">
      <w:pPr>
        <w:pStyle w:val="ECHRDecisionBody"/>
        <w:rPr>
          <w:lang w:val="fr-FR"/>
        </w:rPr>
      </w:pPr>
      <w:proofErr w:type="gramStart"/>
      <w:r w:rsidRPr="007E6F7B">
        <w:rPr>
          <w:lang w:val="fr-FR"/>
        </w:rPr>
        <w:t>et</w:t>
      </w:r>
      <w:proofErr w:type="gramEnd"/>
      <w:r w:rsidRPr="007E6F7B">
        <w:rPr>
          <w:lang w:val="fr-FR"/>
        </w:rPr>
        <w:t xml:space="preserve"> de </w:t>
      </w:r>
      <w:proofErr w:type="spellStart"/>
      <w:r>
        <w:rPr>
          <w:lang w:val="fr-FR"/>
        </w:rPr>
        <w:t>Fatoş</w:t>
      </w:r>
      <w:proofErr w:type="spellEnd"/>
      <w:r w:rsidRPr="007E6F7B">
        <w:rPr>
          <w:lang w:val="fr-FR"/>
        </w:rPr>
        <w:t xml:space="preserve"> </w:t>
      </w:r>
      <w:proofErr w:type="spellStart"/>
      <w:r>
        <w:rPr>
          <w:lang w:val="fr-FR"/>
        </w:rPr>
        <w:t>Aracı</w:t>
      </w:r>
      <w:proofErr w:type="spellEnd"/>
      <w:r w:rsidRPr="007E6F7B">
        <w:rPr>
          <w:lang w:val="fr-FR"/>
        </w:rPr>
        <w:t xml:space="preserve">, </w:t>
      </w:r>
      <w:r>
        <w:rPr>
          <w:i/>
          <w:lang w:val="fr-FR"/>
        </w:rPr>
        <w:t>greffière adjointe de section</w:t>
      </w:r>
      <w:r w:rsidRPr="007E6F7B">
        <w:rPr>
          <w:i/>
          <w:lang w:val="fr-FR"/>
        </w:rPr>
        <w:t>,</w:t>
      </w:r>
    </w:p>
    <w:p w:rsidR="00FC0134" w:rsidRPr="007E6F7B" w:rsidRDefault="00FC0134" w:rsidP="00E35D64">
      <w:pPr>
        <w:pStyle w:val="ECHRPara"/>
        <w:rPr>
          <w:lang w:val="fr-FR"/>
        </w:rPr>
      </w:pPr>
      <w:r w:rsidRPr="007E6F7B">
        <w:rPr>
          <w:lang w:val="fr-FR"/>
        </w:rPr>
        <w:t xml:space="preserve">Vu la requête susmentionnée introduite le </w:t>
      </w:r>
      <w:r>
        <w:rPr>
          <w:lang w:val="fr-FR"/>
        </w:rPr>
        <w:t>10 juillet 2015</w:t>
      </w:r>
      <w:r w:rsidRPr="007E6F7B">
        <w:rPr>
          <w:lang w:val="fr-FR"/>
        </w:rPr>
        <w:t>,</w:t>
      </w:r>
    </w:p>
    <w:p w:rsidR="00FC0134" w:rsidRPr="007E6F7B" w:rsidRDefault="00FC0134" w:rsidP="00E35D64">
      <w:pPr>
        <w:pStyle w:val="ECHRPara"/>
        <w:rPr>
          <w:lang w:val="fr-FR"/>
        </w:rPr>
      </w:pPr>
      <w:r w:rsidRPr="007E6F7B">
        <w:rPr>
          <w:lang w:val="fr-FR"/>
        </w:rPr>
        <w:t>Après en avoir délibéré, rend la décision suivante :</w:t>
      </w:r>
    </w:p>
    <w:p w:rsidR="00FC0134" w:rsidRPr="007E6F7B" w:rsidRDefault="00FC0134" w:rsidP="00E35D64">
      <w:pPr>
        <w:pStyle w:val="ECHRTitle1"/>
        <w:rPr>
          <w:lang w:val="fr-FR"/>
        </w:rPr>
      </w:pPr>
      <w:r w:rsidRPr="007E6F7B">
        <w:rPr>
          <w:lang w:val="fr-FR"/>
        </w:rPr>
        <w:t>EN FAIT</w:t>
      </w:r>
    </w:p>
    <w:p w:rsidR="00FC0134" w:rsidRPr="00A11756" w:rsidRDefault="00FC0134" w:rsidP="00E35D64">
      <w:pPr>
        <w:pStyle w:val="ECHRPara"/>
        <w:rPr>
          <w:lang w:val="fr-FR"/>
        </w:rPr>
      </w:pPr>
      <w:r>
        <w:rPr>
          <w:lang w:val="fr-FR"/>
        </w:rPr>
        <w:t>1.  </w:t>
      </w:r>
      <w:r w:rsidRPr="007E6F7B">
        <w:rPr>
          <w:lang w:val="fr-FR"/>
        </w:rPr>
        <w:t xml:space="preserve">Les requérants, </w:t>
      </w:r>
      <w:r>
        <w:rPr>
          <w:lang w:val="fr-FR"/>
        </w:rPr>
        <w:t>M.</w:t>
      </w:r>
      <w:r w:rsidRPr="007E6F7B">
        <w:rPr>
          <w:lang w:val="fr-FR"/>
        </w:rPr>
        <w:t xml:space="preserve"> </w:t>
      </w:r>
      <w:r>
        <w:rPr>
          <w:lang w:val="fr-FR"/>
        </w:rPr>
        <w:t>Giovanni</w:t>
      </w:r>
      <w:r w:rsidRPr="007E6F7B">
        <w:rPr>
          <w:lang w:val="fr-FR"/>
        </w:rPr>
        <w:t xml:space="preserve"> </w:t>
      </w:r>
      <w:r>
        <w:rPr>
          <w:lang w:val="fr-FR"/>
        </w:rPr>
        <w:t>Rinaldi</w:t>
      </w:r>
      <w:r w:rsidRPr="007E6F7B">
        <w:rPr>
          <w:lang w:val="fr-FR"/>
        </w:rPr>
        <w:t xml:space="preserve"> et </w:t>
      </w:r>
      <w:r>
        <w:rPr>
          <w:lang w:val="fr-FR"/>
        </w:rPr>
        <w:t>M.</w:t>
      </w:r>
      <w:r w:rsidRPr="007E6F7B">
        <w:rPr>
          <w:lang w:val="fr-FR"/>
        </w:rPr>
        <w:t xml:space="preserve"> </w:t>
      </w:r>
      <w:r>
        <w:rPr>
          <w:lang w:val="fr-FR"/>
        </w:rPr>
        <w:t>Salvatore</w:t>
      </w:r>
      <w:r w:rsidRPr="007E6F7B">
        <w:rPr>
          <w:lang w:val="fr-FR"/>
        </w:rPr>
        <w:t xml:space="preserve"> </w:t>
      </w:r>
      <w:proofErr w:type="spellStart"/>
      <w:r>
        <w:rPr>
          <w:lang w:val="fr-FR"/>
        </w:rPr>
        <w:t>Cannova</w:t>
      </w:r>
      <w:proofErr w:type="spellEnd"/>
      <w:r w:rsidRPr="007E6F7B">
        <w:rPr>
          <w:lang w:val="fr-FR"/>
        </w:rPr>
        <w:t xml:space="preserve">, sont des ressortissants </w:t>
      </w:r>
      <w:r>
        <w:rPr>
          <w:lang w:val="fr-FR"/>
        </w:rPr>
        <w:t>italiens n</w:t>
      </w:r>
      <w:r w:rsidRPr="007E6F7B">
        <w:rPr>
          <w:lang w:val="fr-FR"/>
        </w:rPr>
        <w:t xml:space="preserve">és respectivement en </w:t>
      </w:r>
      <w:r>
        <w:rPr>
          <w:lang w:val="fr-FR"/>
        </w:rPr>
        <w:t>1951</w:t>
      </w:r>
      <w:r w:rsidRPr="007E6F7B">
        <w:rPr>
          <w:lang w:val="fr-FR"/>
        </w:rPr>
        <w:t xml:space="preserve"> et en </w:t>
      </w:r>
      <w:r>
        <w:rPr>
          <w:lang w:val="fr-FR"/>
        </w:rPr>
        <w:t>1968</w:t>
      </w:r>
      <w:r w:rsidRPr="007E6F7B">
        <w:rPr>
          <w:lang w:val="fr-FR"/>
        </w:rPr>
        <w:t xml:space="preserve"> et résidant à </w:t>
      </w:r>
      <w:proofErr w:type="spellStart"/>
      <w:r>
        <w:rPr>
          <w:lang w:val="fr-FR"/>
        </w:rPr>
        <w:t>Tufino</w:t>
      </w:r>
      <w:proofErr w:type="spellEnd"/>
      <w:r>
        <w:rPr>
          <w:lang w:val="fr-FR"/>
        </w:rPr>
        <w:t xml:space="preserve">, </w:t>
      </w:r>
      <w:r w:rsidRPr="00A11756">
        <w:rPr>
          <w:lang w:val="fr-FR"/>
        </w:rPr>
        <w:t xml:space="preserve">Naples et </w:t>
      </w:r>
      <w:proofErr w:type="spellStart"/>
      <w:r w:rsidRPr="00A11756">
        <w:rPr>
          <w:lang w:val="fr-FR"/>
        </w:rPr>
        <w:t>Cicciano</w:t>
      </w:r>
      <w:proofErr w:type="spellEnd"/>
      <w:r w:rsidRPr="00A11756">
        <w:rPr>
          <w:lang w:val="fr-FR"/>
        </w:rPr>
        <w:t>, Naples. Ils ont saisi la Cour le 10 juillet 2015. Ils ont été représentés devant la Cour par M</w:t>
      </w:r>
      <w:r w:rsidRPr="00A11756">
        <w:rPr>
          <w:vertAlign w:val="superscript"/>
          <w:lang w:val="fr-FR"/>
        </w:rPr>
        <w:t>e</w:t>
      </w:r>
      <w:r w:rsidRPr="00A11756">
        <w:rPr>
          <w:lang w:val="fr-FR"/>
        </w:rPr>
        <w:t> A. di Palma, avocat à Nola.</w:t>
      </w:r>
    </w:p>
    <w:p w:rsidR="00F50F09" w:rsidRDefault="00FC0134" w:rsidP="00E35D64">
      <w:pPr>
        <w:pStyle w:val="ECHRPara"/>
        <w:rPr>
          <w:lang w:val="fr-FR"/>
        </w:rPr>
      </w:pPr>
      <w:r>
        <w:rPr>
          <w:lang w:val="fr-FR"/>
        </w:rPr>
        <w:t>2</w:t>
      </w:r>
      <w:r w:rsidRPr="00A11756">
        <w:rPr>
          <w:lang w:val="fr-FR"/>
        </w:rPr>
        <w:t>.</w:t>
      </w:r>
      <w:proofErr w:type="gramStart"/>
      <w:r w:rsidRPr="00A11756">
        <w:rPr>
          <w:lang w:val="fr-FR"/>
        </w:rPr>
        <w:t>  Les requérants résident</w:t>
      </w:r>
      <w:proofErr w:type="gramEnd"/>
      <w:r w:rsidRPr="00353707">
        <w:rPr>
          <w:lang w:val="fr-FR"/>
        </w:rPr>
        <w:t xml:space="preserve"> dans la province de </w:t>
      </w:r>
      <w:r>
        <w:rPr>
          <w:lang w:val="fr-FR"/>
        </w:rPr>
        <w:t>Naples</w:t>
      </w:r>
      <w:r w:rsidRPr="00353707">
        <w:rPr>
          <w:lang w:val="fr-FR"/>
        </w:rPr>
        <w:t xml:space="preserve">. Cette zone fait partie du territoire couramment dénommée « </w:t>
      </w:r>
      <w:r w:rsidRPr="00353707">
        <w:rPr>
          <w:i/>
          <w:lang w:val="fr-FR"/>
        </w:rPr>
        <w:t xml:space="preserve">La terra dei </w:t>
      </w:r>
      <w:proofErr w:type="spellStart"/>
      <w:r w:rsidRPr="00353707">
        <w:rPr>
          <w:i/>
          <w:lang w:val="fr-FR"/>
        </w:rPr>
        <w:t>fuochi</w:t>
      </w:r>
      <w:proofErr w:type="spellEnd"/>
      <w:r w:rsidRPr="00353707">
        <w:rPr>
          <w:lang w:val="fr-FR"/>
        </w:rPr>
        <w:t xml:space="preserve"> » où selon les déclarations d</w:t>
      </w:r>
      <w:r w:rsidR="00252B50">
        <w:rPr>
          <w:lang w:val="fr-FR"/>
        </w:rPr>
        <w:t>’</w:t>
      </w:r>
      <w:r w:rsidRPr="00353707">
        <w:rPr>
          <w:lang w:val="fr-FR"/>
        </w:rPr>
        <w:t xml:space="preserve">un repenti de la </w:t>
      </w:r>
      <w:r w:rsidRPr="00353707">
        <w:rPr>
          <w:i/>
          <w:lang w:val="fr-FR"/>
        </w:rPr>
        <w:t xml:space="preserve">Camorra </w:t>
      </w:r>
      <w:r w:rsidRPr="00353707">
        <w:rPr>
          <w:lang w:val="fr-FR"/>
        </w:rPr>
        <w:t>(organisation criminelle), pendant des années des déchets nuisibles à l</w:t>
      </w:r>
      <w:r w:rsidR="00252B50">
        <w:rPr>
          <w:lang w:val="fr-FR"/>
        </w:rPr>
        <w:t>’</w:t>
      </w:r>
      <w:r w:rsidRPr="00353707">
        <w:rPr>
          <w:lang w:val="fr-FR"/>
        </w:rPr>
        <w:t>environnement et à la santé de l</w:t>
      </w:r>
      <w:r w:rsidR="00252B50">
        <w:rPr>
          <w:lang w:val="fr-FR"/>
        </w:rPr>
        <w:t>’</w:t>
      </w:r>
      <w:r w:rsidRPr="00353707">
        <w:rPr>
          <w:lang w:val="fr-FR"/>
        </w:rPr>
        <w:t>homme auraient été ensevelis ou déversés illicitement.</w:t>
      </w:r>
    </w:p>
    <w:p w:rsidR="00FC0134" w:rsidRDefault="00FC0134" w:rsidP="00E35D64">
      <w:pPr>
        <w:pStyle w:val="ECHRPara"/>
        <w:rPr>
          <w:lang w:val="fr-FR"/>
        </w:rPr>
      </w:pPr>
      <w:r>
        <w:rPr>
          <w:lang w:val="fr-FR"/>
        </w:rPr>
        <w:t>3.  L</w:t>
      </w:r>
      <w:r w:rsidRPr="00353707">
        <w:rPr>
          <w:lang w:val="fr-FR"/>
        </w:rPr>
        <w:t>es requérants</w:t>
      </w:r>
      <w:r>
        <w:rPr>
          <w:lang w:val="fr-FR"/>
        </w:rPr>
        <w:t xml:space="preserve"> </w:t>
      </w:r>
      <w:r w:rsidRPr="00353707">
        <w:rPr>
          <w:lang w:val="fr-FR"/>
        </w:rPr>
        <w:t>ont été frappés</w:t>
      </w:r>
      <w:r>
        <w:rPr>
          <w:lang w:val="fr-FR"/>
        </w:rPr>
        <w:t xml:space="preserve"> par des maladies</w:t>
      </w:r>
      <w:r w:rsidRPr="00353707">
        <w:rPr>
          <w:lang w:val="fr-FR"/>
        </w:rPr>
        <w:t xml:space="preserve"> prétendument causées par la présence desdits déchets</w:t>
      </w:r>
      <w:r>
        <w:rPr>
          <w:lang w:val="fr-FR"/>
        </w:rPr>
        <w:t>.</w:t>
      </w:r>
    </w:p>
    <w:p w:rsidR="00FC0134" w:rsidRDefault="00FC0134" w:rsidP="00E35D64">
      <w:pPr>
        <w:pStyle w:val="ECHRPara"/>
        <w:rPr>
          <w:lang w:val="fr-FR"/>
        </w:rPr>
      </w:pPr>
      <w:r>
        <w:rPr>
          <w:lang w:val="fr-FR"/>
        </w:rPr>
        <w:t>4.  Lors de l</w:t>
      </w:r>
      <w:r w:rsidR="00252B50">
        <w:rPr>
          <w:lang w:val="fr-FR"/>
        </w:rPr>
        <w:t>’</w:t>
      </w:r>
      <w:r>
        <w:rPr>
          <w:lang w:val="fr-FR"/>
        </w:rPr>
        <w:t>introduction de leurs requêtes, les requérants ont indiqué, dans les sous-sections 43 et 44 du formulaire, qu</w:t>
      </w:r>
      <w:r w:rsidR="00252B50">
        <w:rPr>
          <w:lang w:val="fr-FR"/>
        </w:rPr>
        <w:t>’</w:t>
      </w:r>
      <w:r>
        <w:rPr>
          <w:lang w:val="fr-FR"/>
        </w:rPr>
        <w:t>ils n</w:t>
      </w:r>
      <w:r w:rsidR="00252B50">
        <w:rPr>
          <w:lang w:val="fr-FR"/>
        </w:rPr>
        <w:t>’</w:t>
      </w:r>
      <w:r>
        <w:rPr>
          <w:lang w:val="fr-FR"/>
        </w:rPr>
        <w:t>avaient pas introduit d</w:t>
      </w:r>
      <w:r w:rsidR="00252B50">
        <w:rPr>
          <w:lang w:val="fr-FR"/>
        </w:rPr>
        <w:t>’</w:t>
      </w:r>
      <w:r>
        <w:rPr>
          <w:lang w:val="fr-FR"/>
        </w:rPr>
        <w:t>autres requêtes devant la Cour auparavant.</w:t>
      </w:r>
    </w:p>
    <w:p w:rsidR="00FC0134" w:rsidRPr="007E6F7B" w:rsidRDefault="00FC0134" w:rsidP="00E35D64">
      <w:pPr>
        <w:pStyle w:val="ECHRPara"/>
        <w:rPr>
          <w:lang w:val="fr-FR"/>
        </w:rPr>
      </w:pPr>
      <w:r>
        <w:rPr>
          <w:lang w:val="fr-FR"/>
        </w:rPr>
        <w:lastRenderedPageBreak/>
        <w:t>5.  Toutefois, le 26 avril 2014, les requérants ont introduit, par le biais de M</w:t>
      </w:r>
      <w:r w:rsidRPr="00646DA1">
        <w:rPr>
          <w:vertAlign w:val="superscript"/>
          <w:lang w:val="fr-FR"/>
        </w:rPr>
        <w:t>e</w:t>
      </w:r>
      <w:r>
        <w:rPr>
          <w:lang w:val="fr-FR"/>
        </w:rPr>
        <w:t xml:space="preserve"> R. Miele, avocat à </w:t>
      </w:r>
      <w:proofErr w:type="spellStart"/>
      <w:r>
        <w:rPr>
          <w:lang w:val="fr-FR"/>
        </w:rPr>
        <w:t>Cicciano</w:t>
      </w:r>
      <w:proofErr w:type="spellEnd"/>
      <w:r>
        <w:rPr>
          <w:lang w:val="fr-FR"/>
        </w:rPr>
        <w:t xml:space="preserve">, Naples, une requête qui porte essentiellement sur les mêmes </w:t>
      </w:r>
      <w:r w:rsidRPr="00662B65">
        <w:rPr>
          <w:lang w:val="fr-FR"/>
        </w:rPr>
        <w:t>questions</w:t>
      </w:r>
      <w:r>
        <w:rPr>
          <w:lang w:val="fr-FR"/>
        </w:rPr>
        <w:t xml:space="preserve"> (requête</w:t>
      </w:r>
      <w:r w:rsidRPr="00662B65">
        <w:rPr>
          <w:lang w:val="fr-FR"/>
        </w:rPr>
        <w:t xml:space="preserve"> n</w:t>
      </w:r>
      <w:r w:rsidR="00F50F09" w:rsidRPr="00F50F09">
        <w:rPr>
          <w:vertAlign w:val="superscript"/>
          <w:lang w:val="fr-FR"/>
        </w:rPr>
        <w:t>o</w:t>
      </w:r>
      <w:r w:rsidRPr="00662B65">
        <w:rPr>
          <w:lang w:val="fr-FR"/>
        </w:rPr>
        <w:t xml:space="preserve"> 36396/14).</w:t>
      </w:r>
    </w:p>
    <w:p w:rsidR="00FC0134" w:rsidRPr="007E6F7B" w:rsidRDefault="00FC0134" w:rsidP="00E35D64">
      <w:pPr>
        <w:pStyle w:val="ECHRTitle1"/>
        <w:rPr>
          <w:lang w:val="fr-FR"/>
        </w:rPr>
      </w:pPr>
      <w:r w:rsidRPr="007E6F7B">
        <w:rPr>
          <w:lang w:val="fr-FR"/>
        </w:rPr>
        <w:t>GRIEFS</w:t>
      </w:r>
    </w:p>
    <w:p w:rsidR="00FC0134" w:rsidRDefault="00FC0134" w:rsidP="00E35D64">
      <w:pPr>
        <w:pStyle w:val="ECHRPara"/>
        <w:rPr>
          <w:lang w:val="fr-FR"/>
        </w:rPr>
      </w:pPr>
      <w:r>
        <w:rPr>
          <w:lang w:val="fr-FR"/>
        </w:rPr>
        <w:t>6.  </w:t>
      </w:r>
      <w:r w:rsidRPr="0023297D">
        <w:rPr>
          <w:lang w:val="fr-FR"/>
        </w:rPr>
        <w:t>Invoquant l</w:t>
      </w:r>
      <w:r>
        <w:rPr>
          <w:lang w:val="fr-FR"/>
        </w:rPr>
        <w:t xml:space="preserve">es </w:t>
      </w:r>
      <w:r w:rsidRPr="0023297D">
        <w:rPr>
          <w:lang w:val="fr-FR"/>
        </w:rPr>
        <w:t>article</w:t>
      </w:r>
      <w:r>
        <w:rPr>
          <w:lang w:val="fr-FR"/>
        </w:rPr>
        <w:t>s</w:t>
      </w:r>
      <w:r w:rsidRPr="0023297D">
        <w:rPr>
          <w:lang w:val="fr-FR"/>
        </w:rPr>
        <w:t xml:space="preserve"> </w:t>
      </w:r>
      <w:r>
        <w:rPr>
          <w:lang w:val="fr-FR"/>
        </w:rPr>
        <w:t xml:space="preserve">2, 6, 8 et 13 </w:t>
      </w:r>
      <w:r w:rsidRPr="0023297D">
        <w:rPr>
          <w:lang w:val="fr-FR"/>
        </w:rPr>
        <w:t>de la Convention, les requérants se plaignent de</w:t>
      </w:r>
      <w:r>
        <w:rPr>
          <w:lang w:val="fr-FR"/>
        </w:rPr>
        <w:t xml:space="preserve"> ce que l</w:t>
      </w:r>
      <w:r w:rsidR="00252B50">
        <w:rPr>
          <w:lang w:val="fr-FR"/>
        </w:rPr>
        <w:t>’</w:t>
      </w:r>
      <w:r>
        <w:rPr>
          <w:lang w:val="fr-FR"/>
        </w:rPr>
        <w:t xml:space="preserve">État, </w:t>
      </w:r>
      <w:r w:rsidRPr="00671CBB">
        <w:rPr>
          <w:lang w:val="fr-FR"/>
        </w:rPr>
        <w:t>en s</w:t>
      </w:r>
      <w:r w:rsidR="00252B50">
        <w:rPr>
          <w:lang w:val="fr-FR"/>
        </w:rPr>
        <w:t>’</w:t>
      </w:r>
      <w:r w:rsidRPr="00671CBB">
        <w:rPr>
          <w:lang w:val="fr-FR"/>
        </w:rPr>
        <w:t>abstenant d</w:t>
      </w:r>
      <w:r w:rsidR="00252B50">
        <w:rPr>
          <w:lang w:val="fr-FR"/>
        </w:rPr>
        <w:t>’</w:t>
      </w:r>
      <w:r w:rsidRPr="00671CBB">
        <w:rPr>
          <w:lang w:val="fr-FR"/>
        </w:rPr>
        <w:t>adopter les mesures nécessaires pour élimin</w:t>
      </w:r>
      <w:r>
        <w:rPr>
          <w:lang w:val="fr-FR"/>
        </w:rPr>
        <w:t xml:space="preserve">er les déchets nuisibles </w:t>
      </w:r>
      <w:r w:rsidRPr="00671CBB">
        <w:rPr>
          <w:lang w:val="fr-FR"/>
        </w:rPr>
        <w:t xml:space="preserve">et pour </w:t>
      </w:r>
      <w:r>
        <w:rPr>
          <w:lang w:val="fr-FR"/>
        </w:rPr>
        <w:t>bonifi</w:t>
      </w:r>
      <w:r w:rsidRPr="00671CBB">
        <w:rPr>
          <w:lang w:val="fr-FR"/>
        </w:rPr>
        <w:t>er</w:t>
      </w:r>
      <w:r>
        <w:rPr>
          <w:lang w:val="fr-FR"/>
        </w:rPr>
        <w:t xml:space="preserve"> les sites concernés,</w:t>
      </w:r>
      <w:r w:rsidRPr="00671CBB">
        <w:rPr>
          <w:lang w:val="fr-FR"/>
        </w:rPr>
        <w:t xml:space="preserve"> </w:t>
      </w:r>
      <w:r>
        <w:rPr>
          <w:lang w:val="fr-FR"/>
        </w:rPr>
        <w:t>ne protège pas leurs vies et leur santé. L</w:t>
      </w:r>
      <w:r w:rsidRPr="0023297D">
        <w:rPr>
          <w:lang w:val="fr-FR"/>
        </w:rPr>
        <w:t xml:space="preserve">es requérants se plaignent </w:t>
      </w:r>
      <w:r>
        <w:rPr>
          <w:lang w:val="fr-FR"/>
        </w:rPr>
        <w:t>également du fait que l</w:t>
      </w:r>
      <w:r w:rsidR="00252B50">
        <w:rPr>
          <w:lang w:val="fr-FR"/>
        </w:rPr>
        <w:t>’</w:t>
      </w:r>
      <w:r>
        <w:rPr>
          <w:lang w:val="fr-FR"/>
        </w:rPr>
        <w:t xml:space="preserve">État a </w:t>
      </w:r>
      <w:r w:rsidRPr="00671CBB">
        <w:rPr>
          <w:lang w:val="fr-FR"/>
        </w:rPr>
        <w:t>omis d</w:t>
      </w:r>
      <w:r>
        <w:rPr>
          <w:lang w:val="fr-FR"/>
        </w:rPr>
        <w:t xml:space="preserve">e les </w:t>
      </w:r>
      <w:r w:rsidRPr="00671CBB">
        <w:rPr>
          <w:lang w:val="fr-FR"/>
        </w:rPr>
        <w:t>informer des risques liés au fait d</w:t>
      </w:r>
      <w:r w:rsidR="00252B50">
        <w:rPr>
          <w:lang w:val="fr-FR"/>
        </w:rPr>
        <w:t>’</w:t>
      </w:r>
      <w:r w:rsidRPr="00671CBB">
        <w:rPr>
          <w:lang w:val="fr-FR"/>
        </w:rPr>
        <w:t>habiter dans un territoire pollué.</w:t>
      </w:r>
    </w:p>
    <w:p w:rsidR="00FC0134" w:rsidRPr="007E6F7B" w:rsidRDefault="00FC0134" w:rsidP="00E35D64">
      <w:pPr>
        <w:pStyle w:val="ECHRTitle1"/>
        <w:rPr>
          <w:lang w:val="fr-FR"/>
        </w:rPr>
      </w:pPr>
      <w:r w:rsidRPr="007E6F7B">
        <w:rPr>
          <w:lang w:val="fr-FR"/>
        </w:rPr>
        <w:t>EN DROIT</w:t>
      </w:r>
    </w:p>
    <w:p w:rsidR="00FC0134" w:rsidRPr="00B31ACC" w:rsidRDefault="00FC0134" w:rsidP="00E35D64">
      <w:pPr>
        <w:pStyle w:val="ECHRPara"/>
        <w:rPr>
          <w:lang w:val="fr-FR"/>
        </w:rPr>
      </w:pPr>
      <w:r>
        <w:rPr>
          <w:lang w:val="fr-FR"/>
        </w:rPr>
        <w:t>7.  </w:t>
      </w:r>
      <w:r w:rsidRPr="00B31ACC">
        <w:rPr>
          <w:lang w:val="fr-FR"/>
        </w:rPr>
        <w:t>La Cour rappelle qu</w:t>
      </w:r>
      <w:r w:rsidR="00252B50">
        <w:rPr>
          <w:lang w:val="fr-FR"/>
        </w:rPr>
        <w:t>’</w:t>
      </w:r>
      <w:r w:rsidRPr="00B31ACC">
        <w:rPr>
          <w:lang w:val="fr-FR"/>
        </w:rPr>
        <w:t>une requête peut être considérée comme étant abusive aux termes de l</w:t>
      </w:r>
      <w:r w:rsidR="00252B50">
        <w:rPr>
          <w:lang w:val="fr-FR"/>
        </w:rPr>
        <w:t>’</w:t>
      </w:r>
      <w:r w:rsidRPr="00B31ACC">
        <w:rPr>
          <w:lang w:val="fr-FR"/>
        </w:rPr>
        <w:t xml:space="preserve">article 35 § 3 a) de la Convention si, par exemple, elle a été fondée sciemment sur des faits controuvés (voir, entre autres, </w:t>
      </w:r>
      <w:proofErr w:type="spellStart"/>
      <w:r w:rsidR="00420F07">
        <w:rPr>
          <w:i/>
          <w:lang w:val="fr-FR"/>
        </w:rPr>
        <w:t>Jian</w:t>
      </w:r>
      <w:proofErr w:type="spellEnd"/>
      <w:r w:rsidR="00420F07">
        <w:rPr>
          <w:i/>
          <w:lang w:val="fr-FR"/>
        </w:rPr>
        <w:t xml:space="preserve"> </w:t>
      </w:r>
      <w:r w:rsidRPr="00AC3E3A">
        <w:rPr>
          <w:i/>
          <w:lang w:val="fr-FR"/>
        </w:rPr>
        <w:t>c. Roumanie</w:t>
      </w:r>
      <w:r w:rsidRPr="00B31ACC">
        <w:rPr>
          <w:lang w:val="fr-FR"/>
        </w:rPr>
        <w:t xml:space="preserve"> (déc.), n</w:t>
      </w:r>
      <w:r w:rsidR="00F50F09" w:rsidRPr="00F50F09">
        <w:rPr>
          <w:vertAlign w:val="superscript"/>
          <w:lang w:val="fr-FR"/>
        </w:rPr>
        <w:t>o</w:t>
      </w:r>
      <w:r w:rsidRPr="00B31ACC">
        <w:rPr>
          <w:lang w:val="fr-FR"/>
        </w:rPr>
        <w:t xml:space="preserve"> </w:t>
      </w:r>
      <w:hyperlink r:id="rId11" w:anchor="{&quot;appno&quot;:[&quot;46640/99&quot;]}" w:tgtFrame="_blank" w:history="1">
        <w:r w:rsidRPr="00AC3E3A">
          <w:rPr>
            <w:lang w:val="fr-FR"/>
          </w:rPr>
          <w:t>46640/99</w:t>
        </w:r>
      </w:hyperlink>
      <w:r>
        <w:rPr>
          <w:lang w:val="fr-FR"/>
        </w:rPr>
        <w:t>, 30 mars 2004</w:t>
      </w:r>
      <w:r w:rsidRPr="00B31ACC">
        <w:rPr>
          <w:lang w:val="fr-FR"/>
        </w:rPr>
        <w:t xml:space="preserve">; </w:t>
      </w:r>
      <w:proofErr w:type="spellStart"/>
      <w:r>
        <w:rPr>
          <w:i/>
          <w:lang w:val="fr-FR"/>
        </w:rPr>
        <w:t>Keretchachvili</w:t>
      </w:r>
      <w:proofErr w:type="spellEnd"/>
      <w:r>
        <w:rPr>
          <w:i/>
          <w:lang w:val="fr-FR"/>
        </w:rPr>
        <w:t xml:space="preserve"> c</w:t>
      </w:r>
      <w:r w:rsidR="00420F07">
        <w:rPr>
          <w:i/>
          <w:lang w:val="fr-FR"/>
        </w:rPr>
        <w:t>.</w:t>
      </w:r>
      <w:r>
        <w:rPr>
          <w:i/>
          <w:lang w:val="fr-FR"/>
        </w:rPr>
        <w:t> </w:t>
      </w:r>
      <w:r w:rsidRPr="00AC3E3A">
        <w:rPr>
          <w:i/>
          <w:lang w:val="fr-FR"/>
        </w:rPr>
        <w:t xml:space="preserve"> Géorgie </w:t>
      </w:r>
      <w:r w:rsidR="00F50F09">
        <w:rPr>
          <w:lang w:val="fr-FR"/>
        </w:rPr>
        <w:t>(déc.), n</w:t>
      </w:r>
      <w:r w:rsidR="00F50F09" w:rsidRPr="00F50F09">
        <w:rPr>
          <w:vertAlign w:val="superscript"/>
          <w:lang w:val="fr-FR"/>
        </w:rPr>
        <w:t>o</w:t>
      </w:r>
      <w:r w:rsidRPr="00B31ACC">
        <w:rPr>
          <w:lang w:val="fr-FR"/>
        </w:rPr>
        <w:t xml:space="preserve"> </w:t>
      </w:r>
      <w:hyperlink r:id="rId12" w:anchor="{&quot;appno&quot;:[&quot;5667/02&quot;]}" w:tgtFrame="_blank" w:history="1">
        <w:r w:rsidRPr="00AC3E3A">
          <w:rPr>
            <w:lang w:val="fr-FR"/>
          </w:rPr>
          <w:t>5667/02</w:t>
        </w:r>
      </w:hyperlink>
      <w:r w:rsidRPr="00B31ACC">
        <w:rPr>
          <w:lang w:val="fr-FR"/>
        </w:rPr>
        <w:t>, CEDH 2006</w:t>
      </w:r>
      <w:r w:rsidRPr="00B31ACC">
        <w:rPr>
          <w:lang w:val="fr-FR"/>
        </w:rPr>
        <w:noBreakHyphen/>
        <w:t>V) ou si le requérant a passé sous silence des informations essentielles concernant les faits de l</w:t>
      </w:r>
      <w:r w:rsidR="00252B50">
        <w:rPr>
          <w:lang w:val="fr-FR"/>
        </w:rPr>
        <w:t>’</w:t>
      </w:r>
      <w:r w:rsidRPr="00B31ACC">
        <w:rPr>
          <w:lang w:val="fr-FR"/>
        </w:rPr>
        <w:t>affaire afin d</w:t>
      </w:r>
      <w:r w:rsidR="00252B50">
        <w:rPr>
          <w:lang w:val="fr-FR"/>
        </w:rPr>
        <w:t>’</w:t>
      </w:r>
      <w:r w:rsidRPr="00B31ACC">
        <w:rPr>
          <w:lang w:val="fr-FR"/>
        </w:rPr>
        <w:t xml:space="preserve">induire la Cour en erreur (voir, entre autres, </w:t>
      </w:r>
      <w:proofErr w:type="spellStart"/>
      <w:r w:rsidRPr="00AC3E3A">
        <w:rPr>
          <w:i/>
          <w:lang w:val="fr-FR"/>
        </w:rPr>
        <w:t>Hüttner</w:t>
      </w:r>
      <w:proofErr w:type="spellEnd"/>
      <w:r w:rsidRPr="00AC3E3A">
        <w:rPr>
          <w:i/>
          <w:lang w:val="fr-FR"/>
        </w:rPr>
        <w:t xml:space="preserve"> c. Allemagne</w:t>
      </w:r>
      <w:r w:rsidRPr="00B31ACC">
        <w:rPr>
          <w:lang w:val="fr-FR"/>
        </w:rPr>
        <w:t xml:space="preserve"> (déc.), n</w:t>
      </w:r>
      <w:r w:rsidR="00F50F09" w:rsidRPr="00F50F09">
        <w:rPr>
          <w:vertAlign w:val="superscript"/>
          <w:lang w:val="fr-FR"/>
        </w:rPr>
        <w:t>o</w:t>
      </w:r>
      <w:r>
        <w:rPr>
          <w:lang w:val="fr-FR"/>
        </w:rPr>
        <w:t> </w:t>
      </w:r>
      <w:hyperlink r:id="rId13" w:anchor="{&quot;appno&quot;:[&quot;23130/04&quot;]}" w:tgtFrame="_blank" w:history="1">
        <w:r w:rsidRPr="00AC3E3A">
          <w:rPr>
            <w:lang w:val="fr-FR"/>
          </w:rPr>
          <w:t>23130/04</w:t>
        </w:r>
      </w:hyperlink>
      <w:r>
        <w:rPr>
          <w:lang w:val="fr-FR"/>
        </w:rPr>
        <w:t xml:space="preserve">, 19 juin 2006; </w:t>
      </w:r>
      <w:proofErr w:type="spellStart"/>
      <w:r w:rsidRPr="00AC3E3A">
        <w:rPr>
          <w:i/>
          <w:lang w:val="fr-FR"/>
        </w:rPr>
        <w:t>Basileo</w:t>
      </w:r>
      <w:proofErr w:type="spellEnd"/>
      <w:r w:rsidRPr="00AC3E3A">
        <w:rPr>
          <w:i/>
          <w:lang w:val="fr-FR"/>
        </w:rPr>
        <w:t xml:space="preserve"> et autres c. Italie</w:t>
      </w:r>
      <w:r w:rsidRPr="00B31ACC">
        <w:rPr>
          <w:lang w:val="fr-FR"/>
        </w:rPr>
        <w:t xml:space="preserve"> (déc.), n</w:t>
      </w:r>
      <w:r w:rsidR="00F50F09" w:rsidRPr="00F50F09">
        <w:rPr>
          <w:vertAlign w:val="superscript"/>
          <w:lang w:val="fr-FR"/>
        </w:rPr>
        <w:t>o</w:t>
      </w:r>
      <w:r>
        <w:rPr>
          <w:lang w:val="fr-FR"/>
        </w:rPr>
        <w:t> </w:t>
      </w:r>
      <w:hyperlink r:id="rId14" w:anchor="{&quot;appno&quot;:[&quot;11303/02&quot;]}" w:tgtFrame="_blank" w:history="1">
        <w:r w:rsidRPr="00AC3E3A">
          <w:rPr>
            <w:lang w:val="fr-FR"/>
          </w:rPr>
          <w:t>11303/02</w:t>
        </w:r>
      </w:hyperlink>
      <w:r w:rsidR="00420F07">
        <w:rPr>
          <w:lang w:val="fr-FR"/>
        </w:rPr>
        <w:t>, 23 </w:t>
      </w:r>
      <w:r w:rsidRPr="00B31ACC">
        <w:rPr>
          <w:lang w:val="fr-FR"/>
        </w:rPr>
        <w:t>août 2011).</w:t>
      </w:r>
    </w:p>
    <w:p w:rsidR="00FC0134" w:rsidRPr="00986C9F" w:rsidRDefault="00FC0134" w:rsidP="00E35D64">
      <w:pPr>
        <w:pStyle w:val="ECHRPara"/>
        <w:rPr>
          <w:i/>
          <w:lang w:val="fr-FR"/>
        </w:rPr>
      </w:pPr>
      <w:r>
        <w:rPr>
          <w:lang w:val="fr-FR"/>
        </w:rPr>
        <w:t>8.  </w:t>
      </w:r>
      <w:r w:rsidRPr="00B31ACC">
        <w:rPr>
          <w:lang w:val="fr-FR"/>
        </w:rPr>
        <w:t xml:space="preserve">La Cour a déjà affirmé, en outre, que « tout comportement du requérant manifestement contraire à la vocation du droit de recours et entravant le bon fonctionnement de la Cour ou le bon déroulement de </w:t>
      </w:r>
      <w:r w:rsidR="00024C5C">
        <w:rPr>
          <w:lang w:val="fr-FR"/>
        </w:rPr>
        <w:t>la procédure devant elle, peut en principe</w:t>
      </w:r>
      <w:r w:rsidRPr="00B31ACC">
        <w:rPr>
          <w:lang w:val="fr-FR"/>
        </w:rPr>
        <w:t xml:space="preserve"> être qualifié d</w:t>
      </w:r>
      <w:r w:rsidR="00252B50">
        <w:rPr>
          <w:lang w:val="fr-FR"/>
        </w:rPr>
        <w:t>’</w:t>
      </w:r>
      <w:r w:rsidRPr="00B31ACC">
        <w:rPr>
          <w:lang w:val="fr-FR"/>
        </w:rPr>
        <w:t xml:space="preserve">abusif » (voir </w:t>
      </w:r>
      <w:proofErr w:type="spellStart"/>
      <w:r w:rsidR="00986C9F" w:rsidRPr="00FF4EA0">
        <w:rPr>
          <w:i/>
          <w:lang w:val="fr-FR"/>
        </w:rPr>
        <w:t>Miroļubovs</w:t>
      </w:r>
      <w:proofErr w:type="spellEnd"/>
      <w:r w:rsidR="00986C9F" w:rsidRPr="00FF4EA0">
        <w:rPr>
          <w:i/>
          <w:lang w:val="fr-FR"/>
        </w:rPr>
        <w:t xml:space="preserve"> et autres c. Lettonie</w:t>
      </w:r>
      <w:r w:rsidR="00986C9F" w:rsidRPr="00FF4EA0">
        <w:rPr>
          <w:lang w:val="fr-FR"/>
        </w:rPr>
        <w:t>, n</w:t>
      </w:r>
      <w:r w:rsidR="00986C9F" w:rsidRPr="00FF4EA0">
        <w:rPr>
          <w:vertAlign w:val="superscript"/>
          <w:lang w:val="fr-FR"/>
        </w:rPr>
        <w:t>o</w:t>
      </w:r>
      <w:r w:rsidR="00986C9F" w:rsidRPr="00FF4EA0">
        <w:rPr>
          <w:lang w:val="fr-FR"/>
        </w:rPr>
        <w:t xml:space="preserve"> 798/05, § </w:t>
      </w:r>
      <w:r w:rsidR="00024C5C" w:rsidRPr="00024C5C">
        <w:rPr>
          <w:lang w:val="fr-FR"/>
        </w:rPr>
        <w:t>65</w:t>
      </w:r>
      <w:r w:rsidR="00986C9F" w:rsidRPr="00FF4EA0">
        <w:rPr>
          <w:lang w:val="fr-FR"/>
        </w:rPr>
        <w:t>, 15 septembre 2009</w:t>
      </w:r>
      <w:r w:rsidRPr="00B31ACC">
        <w:rPr>
          <w:lang w:val="fr-FR"/>
        </w:rPr>
        <w:t>), la notion d</w:t>
      </w:r>
      <w:r w:rsidR="00252B50">
        <w:rPr>
          <w:lang w:val="fr-FR"/>
        </w:rPr>
        <w:t>’</w:t>
      </w:r>
      <w:r w:rsidRPr="00B31ACC">
        <w:rPr>
          <w:lang w:val="fr-FR"/>
        </w:rPr>
        <w:t>abus, aux termes de l</w:t>
      </w:r>
      <w:r w:rsidR="00252B50">
        <w:rPr>
          <w:lang w:val="fr-FR"/>
        </w:rPr>
        <w:t>’</w:t>
      </w:r>
      <w:r w:rsidRPr="00B31ACC">
        <w:rPr>
          <w:lang w:val="fr-FR"/>
        </w:rPr>
        <w:t>article 35 § 3 a) de la Convention, devant être comprise dans son sens ordinaire retenu par la théorie générale du droit – à savoir le fait, par le titulaire d</w:t>
      </w:r>
      <w:r w:rsidR="00252B50">
        <w:rPr>
          <w:lang w:val="fr-FR"/>
        </w:rPr>
        <w:t>’</w:t>
      </w:r>
      <w:r w:rsidRPr="00B31ACC">
        <w:rPr>
          <w:lang w:val="fr-FR"/>
        </w:rPr>
        <w:t>un droit, de le mettre en œuvre en dehors de sa finalité d</w:t>
      </w:r>
      <w:r w:rsidR="00252B50">
        <w:rPr>
          <w:lang w:val="fr-FR"/>
        </w:rPr>
        <w:t>’</w:t>
      </w:r>
      <w:r w:rsidRPr="00B31ACC">
        <w:rPr>
          <w:lang w:val="fr-FR"/>
        </w:rPr>
        <w:t xml:space="preserve">une manière préjudiciable (voir </w:t>
      </w:r>
      <w:proofErr w:type="spellStart"/>
      <w:r w:rsidRPr="002915F8">
        <w:rPr>
          <w:i/>
          <w:lang w:val="fr-FR"/>
        </w:rPr>
        <w:t>Miroļubovs</w:t>
      </w:r>
      <w:proofErr w:type="spellEnd"/>
      <w:r w:rsidRPr="002915F8">
        <w:rPr>
          <w:i/>
          <w:lang w:val="fr-FR"/>
        </w:rPr>
        <w:t xml:space="preserve"> et autres</w:t>
      </w:r>
      <w:r w:rsidR="00F50F09">
        <w:rPr>
          <w:lang w:val="fr-FR"/>
        </w:rPr>
        <w:t>, précitée, § 62</w:t>
      </w:r>
      <w:r w:rsidRPr="00B31ACC">
        <w:rPr>
          <w:lang w:val="fr-FR"/>
        </w:rPr>
        <w:t xml:space="preserve">; </w:t>
      </w:r>
      <w:proofErr w:type="spellStart"/>
      <w:r w:rsidRPr="002915F8">
        <w:rPr>
          <w:i/>
          <w:lang w:val="fr-FR"/>
        </w:rPr>
        <w:t>Petrović</w:t>
      </w:r>
      <w:proofErr w:type="spellEnd"/>
      <w:r w:rsidRPr="002915F8">
        <w:rPr>
          <w:i/>
          <w:lang w:val="fr-FR"/>
        </w:rPr>
        <w:t xml:space="preserve"> c. Serbie</w:t>
      </w:r>
      <w:r w:rsidR="00986C9F">
        <w:rPr>
          <w:lang w:val="fr-FR"/>
        </w:rPr>
        <w:t xml:space="preserve"> (déc.),</w:t>
      </w:r>
      <w:r w:rsidR="00420F07">
        <w:rPr>
          <w:lang w:val="fr-FR"/>
        </w:rPr>
        <w:t xml:space="preserve"> </w:t>
      </w:r>
      <w:r w:rsidR="00986C9F">
        <w:rPr>
          <w:lang w:val="fr-FR"/>
        </w:rPr>
        <w:t>n</w:t>
      </w:r>
      <w:r w:rsidR="00252B50" w:rsidRPr="00252B50">
        <w:rPr>
          <w:vertAlign w:val="superscript"/>
          <w:lang w:val="fr-FR"/>
        </w:rPr>
        <w:t>o</w:t>
      </w:r>
      <w:r w:rsidR="00986C9F">
        <w:rPr>
          <w:lang w:val="fr-FR"/>
        </w:rPr>
        <w:t xml:space="preserve"> 56551/11</w:t>
      </w:r>
      <w:r w:rsidRPr="00B31ACC">
        <w:rPr>
          <w:lang w:val="fr-FR"/>
        </w:rPr>
        <w:t xml:space="preserve"> et dix autres, 18 octobre 2011).</w:t>
      </w:r>
    </w:p>
    <w:p w:rsidR="00FC0134" w:rsidRPr="00B31ACC" w:rsidRDefault="00FC0134" w:rsidP="00E35D64">
      <w:pPr>
        <w:pStyle w:val="ECHRPara"/>
        <w:rPr>
          <w:lang w:val="fr-FR"/>
        </w:rPr>
      </w:pPr>
      <w:r>
        <w:rPr>
          <w:lang w:val="fr-FR"/>
        </w:rPr>
        <w:t>9.  </w:t>
      </w:r>
      <w:r w:rsidRPr="00B31ACC">
        <w:rPr>
          <w:lang w:val="fr-FR"/>
        </w:rPr>
        <w:t>La Cour réitère qu</w:t>
      </w:r>
      <w:r w:rsidR="00252B50">
        <w:rPr>
          <w:lang w:val="fr-FR"/>
        </w:rPr>
        <w:t>’</w:t>
      </w:r>
      <w:r w:rsidRPr="00B31ACC">
        <w:rPr>
          <w:lang w:val="fr-FR"/>
        </w:rPr>
        <w:t>aux termes de l</w:t>
      </w:r>
      <w:r w:rsidR="00252B50">
        <w:rPr>
          <w:lang w:val="fr-FR"/>
        </w:rPr>
        <w:t>’</w:t>
      </w:r>
      <w:r>
        <w:rPr>
          <w:lang w:val="fr-FR"/>
        </w:rPr>
        <w:t>article 44A du règlement, « l</w:t>
      </w:r>
      <w:r w:rsidRPr="00B31ACC">
        <w:rPr>
          <w:lang w:val="fr-FR"/>
        </w:rPr>
        <w:t>es parties ont l</w:t>
      </w:r>
      <w:r w:rsidR="00252B50">
        <w:rPr>
          <w:lang w:val="fr-FR"/>
        </w:rPr>
        <w:t>’</w:t>
      </w:r>
      <w:r w:rsidRPr="00B31ACC">
        <w:rPr>
          <w:lang w:val="fr-FR"/>
        </w:rPr>
        <w:t>obligation de coopérer pleinement à la conduite de la procédure... ». Elle a maintes fois jugé que les règles de procédure prévues en droit interne visent à assurer la bonne administration de la justice et le respect du principe de sécurité juridique et que les intéressés doivent pouvoir s</w:t>
      </w:r>
      <w:r w:rsidR="00252B50">
        <w:rPr>
          <w:lang w:val="fr-FR"/>
        </w:rPr>
        <w:t>’</w:t>
      </w:r>
      <w:r w:rsidRPr="00B31ACC">
        <w:rPr>
          <w:lang w:val="fr-FR"/>
        </w:rPr>
        <w:t xml:space="preserve">attendre à ce que ces règles soient appliquées. Le même constat </w:t>
      </w:r>
      <w:r w:rsidRPr="00B31ACC">
        <w:rPr>
          <w:lang w:val="fr-FR"/>
        </w:rPr>
        <w:lastRenderedPageBreak/>
        <w:t>s</w:t>
      </w:r>
      <w:r w:rsidR="00252B50">
        <w:rPr>
          <w:lang w:val="fr-FR"/>
        </w:rPr>
        <w:t>’</w:t>
      </w:r>
      <w:r w:rsidRPr="00B31ACC">
        <w:rPr>
          <w:lang w:val="fr-FR"/>
        </w:rPr>
        <w:t xml:space="preserve">impose a fortiori au regard des dispositions procédurales de la Convention et du règlement de la Cour (voir </w:t>
      </w:r>
      <w:proofErr w:type="spellStart"/>
      <w:r w:rsidRPr="002915F8">
        <w:rPr>
          <w:i/>
          <w:lang w:val="fr-FR"/>
        </w:rPr>
        <w:t>Miroļubovs</w:t>
      </w:r>
      <w:proofErr w:type="spellEnd"/>
      <w:r w:rsidRPr="002915F8">
        <w:rPr>
          <w:i/>
          <w:lang w:val="fr-FR"/>
        </w:rPr>
        <w:t xml:space="preserve"> et autres,</w:t>
      </w:r>
      <w:r w:rsidRPr="00B31ACC">
        <w:rPr>
          <w:lang w:val="fr-FR"/>
        </w:rPr>
        <w:t xml:space="preserve"> précité, § 66).</w:t>
      </w:r>
    </w:p>
    <w:p w:rsidR="00FC0134" w:rsidRPr="00B31ACC" w:rsidRDefault="00FC0134" w:rsidP="00E35D64">
      <w:pPr>
        <w:pStyle w:val="ECHRPara"/>
        <w:rPr>
          <w:lang w:val="fr-FR"/>
        </w:rPr>
      </w:pPr>
      <w:r>
        <w:rPr>
          <w:lang w:val="fr-FR"/>
        </w:rPr>
        <w:t>10.  </w:t>
      </w:r>
      <w:r w:rsidRPr="00B31ACC">
        <w:rPr>
          <w:lang w:val="fr-FR"/>
        </w:rPr>
        <w:t>Un comportement absolument irresponsable et léger du requérant ou de son représentant, qui est clairement contraire à la véritable mission de la Cour aux termes des articles 19 et 32 de la Convention, peut entraîner le rejet de la requête comme étant abusive (</w:t>
      </w:r>
      <w:proofErr w:type="spellStart"/>
      <w:r w:rsidRPr="002915F8">
        <w:rPr>
          <w:i/>
          <w:lang w:val="fr-FR"/>
        </w:rPr>
        <w:t>Petrović</w:t>
      </w:r>
      <w:proofErr w:type="spellEnd"/>
      <w:r w:rsidR="00F50F09">
        <w:rPr>
          <w:lang w:val="fr-FR"/>
        </w:rPr>
        <w:t>, précité</w:t>
      </w:r>
      <w:r w:rsidRPr="00B31ACC">
        <w:rPr>
          <w:lang w:val="fr-FR"/>
        </w:rPr>
        <w:t xml:space="preserve">; </w:t>
      </w:r>
      <w:proofErr w:type="spellStart"/>
      <w:r w:rsidR="0048597F">
        <w:rPr>
          <w:i/>
          <w:lang w:val="fr-FR"/>
        </w:rPr>
        <w:t>Bekauri</w:t>
      </w:r>
      <w:proofErr w:type="spellEnd"/>
      <w:r w:rsidR="0048597F">
        <w:rPr>
          <w:i/>
          <w:lang w:val="fr-FR"/>
        </w:rPr>
        <w:t> </w:t>
      </w:r>
      <w:r>
        <w:rPr>
          <w:i/>
          <w:lang w:val="fr-FR"/>
        </w:rPr>
        <w:t>c. </w:t>
      </w:r>
      <w:r w:rsidRPr="002915F8">
        <w:rPr>
          <w:i/>
          <w:lang w:val="fr-FR"/>
        </w:rPr>
        <w:t>Géorgie</w:t>
      </w:r>
      <w:r w:rsidRPr="00B31ACC">
        <w:rPr>
          <w:lang w:val="fr-FR"/>
        </w:rPr>
        <w:t xml:space="preserve"> (déc.), n</w:t>
      </w:r>
      <w:r w:rsidR="00F50F09" w:rsidRPr="00F50F09">
        <w:rPr>
          <w:vertAlign w:val="superscript"/>
          <w:lang w:val="fr-FR"/>
        </w:rPr>
        <w:t>o</w:t>
      </w:r>
      <w:r w:rsidRPr="00B31ACC">
        <w:rPr>
          <w:lang w:val="fr-FR"/>
        </w:rPr>
        <w:t xml:space="preserve"> </w:t>
      </w:r>
      <w:hyperlink r:id="rId15" w:anchor="{&quot;appno&quot;:[&quot;14102/02&quot;]}" w:tgtFrame="_blank" w:history="1">
        <w:r w:rsidRPr="00F7385E">
          <w:rPr>
            <w:lang w:val="fr-FR"/>
          </w:rPr>
          <w:t>14102/02</w:t>
        </w:r>
      </w:hyperlink>
      <w:r w:rsidRPr="00B31ACC">
        <w:rPr>
          <w:lang w:val="fr-FR"/>
        </w:rPr>
        <w:t>, §§ 21-24, 10 avril 2012).</w:t>
      </w:r>
    </w:p>
    <w:p w:rsidR="00FC0134" w:rsidRDefault="00FC0134" w:rsidP="00E35D64">
      <w:pPr>
        <w:pStyle w:val="ECHRPara"/>
        <w:rPr>
          <w:lang w:val="fr-FR"/>
        </w:rPr>
      </w:pPr>
      <w:r>
        <w:rPr>
          <w:lang w:val="fr-FR"/>
        </w:rPr>
        <w:t>11.  La Cour rappelle que les sous-sections 43 et 44 du formulaire imposent au requérant de déclarer si « l</w:t>
      </w:r>
      <w:r w:rsidRPr="00662B65">
        <w:rPr>
          <w:lang w:val="fr-FR"/>
        </w:rPr>
        <w:t>e requérant a déjà introduit une ou plusieurs aut</w:t>
      </w:r>
      <w:r>
        <w:rPr>
          <w:lang w:val="fr-FR"/>
        </w:rPr>
        <w:t>re(s) requête(s) devant la Cour » et, dans l</w:t>
      </w:r>
      <w:r w:rsidR="00252B50">
        <w:rPr>
          <w:lang w:val="fr-FR"/>
        </w:rPr>
        <w:t>’</w:t>
      </w:r>
      <w:r>
        <w:rPr>
          <w:lang w:val="fr-FR"/>
        </w:rPr>
        <w:t>affirmative, d</w:t>
      </w:r>
      <w:r w:rsidR="00252B50">
        <w:rPr>
          <w:lang w:val="fr-FR"/>
        </w:rPr>
        <w:t>’</w:t>
      </w:r>
      <w:r w:rsidRPr="00662B65">
        <w:rPr>
          <w:lang w:val="fr-FR"/>
        </w:rPr>
        <w:t xml:space="preserve">indiquer </w:t>
      </w:r>
      <w:r>
        <w:rPr>
          <w:lang w:val="fr-FR"/>
        </w:rPr>
        <w:t>« </w:t>
      </w:r>
      <w:r w:rsidRPr="00662B65">
        <w:rPr>
          <w:lang w:val="fr-FR"/>
        </w:rPr>
        <w:t>le ou les numéro(s) de requête correspondant(s)</w:t>
      </w:r>
      <w:r>
        <w:rPr>
          <w:lang w:val="fr-FR"/>
        </w:rPr>
        <w:t> »</w:t>
      </w:r>
      <w:r w:rsidRPr="00662B65">
        <w:rPr>
          <w:lang w:val="fr-FR"/>
        </w:rPr>
        <w:t>.</w:t>
      </w:r>
      <w:r>
        <w:rPr>
          <w:lang w:val="fr-FR"/>
        </w:rPr>
        <w:t xml:space="preserve"> </w:t>
      </w:r>
      <w:r w:rsidRPr="00662B65">
        <w:rPr>
          <w:lang w:val="fr-FR"/>
        </w:rPr>
        <w:t xml:space="preserve">Ces éléments sont </w:t>
      </w:r>
      <w:r>
        <w:rPr>
          <w:lang w:val="fr-FR"/>
        </w:rPr>
        <w:t>essentiels</w:t>
      </w:r>
      <w:r w:rsidRPr="00662B65">
        <w:rPr>
          <w:lang w:val="fr-FR"/>
        </w:rPr>
        <w:t xml:space="preserve"> pour permettre à la Cour</w:t>
      </w:r>
      <w:r>
        <w:rPr>
          <w:lang w:val="fr-FR"/>
        </w:rPr>
        <w:t>, d</w:t>
      </w:r>
      <w:r w:rsidR="00252B50">
        <w:rPr>
          <w:lang w:val="fr-FR"/>
        </w:rPr>
        <w:t>’</w:t>
      </w:r>
      <w:r>
        <w:rPr>
          <w:lang w:val="fr-FR"/>
        </w:rPr>
        <w:t>une part,</w:t>
      </w:r>
      <w:r w:rsidRPr="00662B65">
        <w:rPr>
          <w:lang w:val="fr-FR"/>
        </w:rPr>
        <w:t xml:space="preserve"> de classer, de retrouver et de traiter les différentes requêtes intro</w:t>
      </w:r>
      <w:r>
        <w:rPr>
          <w:lang w:val="fr-FR"/>
        </w:rPr>
        <w:t>duites au nom du même requérant et d</w:t>
      </w:r>
      <w:r w:rsidR="00252B50">
        <w:rPr>
          <w:lang w:val="fr-FR"/>
        </w:rPr>
        <w:t>’</w:t>
      </w:r>
      <w:r>
        <w:rPr>
          <w:lang w:val="fr-FR"/>
        </w:rPr>
        <w:t>autre part, d</w:t>
      </w:r>
      <w:r w:rsidR="00252B50">
        <w:rPr>
          <w:lang w:val="fr-FR"/>
        </w:rPr>
        <w:t>’</w:t>
      </w:r>
      <w:r>
        <w:rPr>
          <w:lang w:val="fr-FR"/>
        </w:rPr>
        <w:t>éviter, en particulier en cas d</w:t>
      </w:r>
      <w:r w:rsidR="00252B50">
        <w:rPr>
          <w:lang w:val="fr-FR"/>
        </w:rPr>
        <w:t>’</w:t>
      </w:r>
      <w:r>
        <w:rPr>
          <w:lang w:val="fr-FR"/>
        </w:rPr>
        <w:t>envoi de nombreuses requêtes introduites par différents individus portant sur le même problème structurel, une duplication de l</w:t>
      </w:r>
      <w:r w:rsidR="00252B50">
        <w:rPr>
          <w:lang w:val="fr-FR"/>
        </w:rPr>
        <w:t>’</w:t>
      </w:r>
      <w:r>
        <w:rPr>
          <w:lang w:val="fr-FR"/>
        </w:rPr>
        <w:t>examen de mêmes affaires et, en cas de violation, de duplication des réparations.</w:t>
      </w:r>
    </w:p>
    <w:p w:rsidR="00FC0134" w:rsidRPr="00B31ACC" w:rsidRDefault="00FC0134" w:rsidP="00E35D64">
      <w:pPr>
        <w:pStyle w:val="ECHRPara"/>
        <w:rPr>
          <w:lang w:val="fr-FR"/>
        </w:rPr>
      </w:pPr>
      <w:r>
        <w:rPr>
          <w:lang w:val="fr-FR"/>
        </w:rPr>
        <w:t>12.  P</w:t>
      </w:r>
      <w:r w:rsidRPr="00B31ACC">
        <w:rPr>
          <w:lang w:val="fr-FR"/>
        </w:rPr>
        <w:t xml:space="preserve">ar la décision </w:t>
      </w:r>
      <w:r w:rsidRPr="005421EA">
        <w:rPr>
          <w:i/>
          <w:lang w:val="fr-FR"/>
        </w:rPr>
        <w:t xml:space="preserve">De </w:t>
      </w:r>
      <w:proofErr w:type="spellStart"/>
      <w:r w:rsidRPr="005421EA">
        <w:rPr>
          <w:i/>
          <w:lang w:val="fr-FR"/>
        </w:rPr>
        <w:t>Cristofaro</w:t>
      </w:r>
      <w:proofErr w:type="spellEnd"/>
      <w:r w:rsidRPr="005421EA">
        <w:rPr>
          <w:i/>
          <w:lang w:val="fr-FR"/>
        </w:rPr>
        <w:t xml:space="preserve"> et autres c. Italie</w:t>
      </w:r>
      <w:r w:rsidRPr="00B31ACC">
        <w:rPr>
          <w:lang w:val="fr-FR"/>
        </w:rPr>
        <w:t xml:space="preserve"> ((déc.), n</w:t>
      </w:r>
      <w:r w:rsidR="00F50F09" w:rsidRPr="00F50F09">
        <w:rPr>
          <w:vertAlign w:val="superscript"/>
          <w:lang w:val="fr-FR"/>
        </w:rPr>
        <w:t>o</w:t>
      </w:r>
      <w:r w:rsidRPr="00B31ACC">
        <w:rPr>
          <w:lang w:val="fr-FR"/>
        </w:rPr>
        <w:t xml:space="preserve"> </w:t>
      </w:r>
      <w:hyperlink r:id="rId16" w:anchor="{&quot;appno&quot;:[&quot;30464/07&quot;]}" w:tgtFrame="_blank" w:history="1">
        <w:r w:rsidRPr="0021663B">
          <w:rPr>
            <w:lang w:val="fr-FR"/>
          </w:rPr>
          <w:t>30464/07</w:t>
        </w:r>
      </w:hyperlink>
      <w:r w:rsidRPr="00B31ACC">
        <w:rPr>
          <w:lang w:val="fr-FR"/>
        </w:rPr>
        <w:t xml:space="preserve"> et autres, 10 juillet 2012), </w:t>
      </w:r>
      <w:r>
        <w:rPr>
          <w:lang w:val="fr-FR"/>
        </w:rPr>
        <w:t>la Cour</w:t>
      </w:r>
      <w:r w:rsidRPr="00B31ACC">
        <w:rPr>
          <w:lang w:val="fr-FR"/>
        </w:rPr>
        <w:t xml:space="preserve"> s</w:t>
      </w:r>
      <w:r w:rsidR="00252B50">
        <w:rPr>
          <w:lang w:val="fr-FR"/>
        </w:rPr>
        <w:t>’</w:t>
      </w:r>
      <w:r w:rsidRPr="00B31ACC">
        <w:rPr>
          <w:lang w:val="fr-FR"/>
        </w:rPr>
        <w:t>est prononcée sur huit requêtes concernant les mêmes procédures « Pinto » qui faisaient l</w:t>
      </w:r>
      <w:r w:rsidR="00252B50">
        <w:rPr>
          <w:lang w:val="fr-FR"/>
        </w:rPr>
        <w:t>’</w:t>
      </w:r>
      <w:r w:rsidRPr="00B31ACC">
        <w:rPr>
          <w:lang w:val="fr-FR"/>
        </w:rPr>
        <w:t>objet d</w:t>
      </w:r>
      <w:r w:rsidR="00252B50">
        <w:rPr>
          <w:lang w:val="fr-FR"/>
        </w:rPr>
        <w:t>’</w:t>
      </w:r>
      <w:r w:rsidRPr="00B31ACC">
        <w:rPr>
          <w:lang w:val="fr-FR"/>
        </w:rPr>
        <w:t>autres requêtes déjà pendantes, introduites par le même avocat au nom des mêmes requérants. En particulier, chacune des « nouvelles » requêtes portait sur le retard dans l</w:t>
      </w:r>
      <w:r w:rsidR="00252B50">
        <w:rPr>
          <w:lang w:val="fr-FR"/>
        </w:rPr>
        <w:t>’</w:t>
      </w:r>
      <w:r w:rsidRPr="00B31ACC">
        <w:rPr>
          <w:lang w:val="fr-FR"/>
        </w:rPr>
        <w:t>exécution d</w:t>
      </w:r>
      <w:r w:rsidR="00252B50">
        <w:rPr>
          <w:lang w:val="fr-FR"/>
        </w:rPr>
        <w:t>’</w:t>
      </w:r>
      <w:r w:rsidRPr="00B31ACC">
        <w:rPr>
          <w:lang w:val="fr-FR"/>
        </w:rPr>
        <w:t>une décision de la Cour de cassation « Pinto », rendue à l</w:t>
      </w:r>
      <w:r w:rsidR="00252B50">
        <w:rPr>
          <w:lang w:val="fr-FR"/>
        </w:rPr>
        <w:t>’</w:t>
      </w:r>
      <w:r w:rsidRPr="00B31ACC">
        <w:rPr>
          <w:lang w:val="fr-FR"/>
        </w:rPr>
        <w:t>égard d</w:t>
      </w:r>
      <w:r w:rsidR="00252B50">
        <w:rPr>
          <w:lang w:val="fr-FR"/>
        </w:rPr>
        <w:t>’</w:t>
      </w:r>
      <w:r w:rsidRPr="00B31ACC">
        <w:rPr>
          <w:lang w:val="fr-FR"/>
        </w:rPr>
        <w:t>une décision de la cour d</w:t>
      </w:r>
      <w:r w:rsidR="00252B50">
        <w:rPr>
          <w:lang w:val="fr-FR"/>
        </w:rPr>
        <w:t>’</w:t>
      </w:r>
      <w:r w:rsidRPr="00B31ACC">
        <w:rPr>
          <w:lang w:val="fr-FR"/>
        </w:rPr>
        <w:t>appel « Pinto » et octroyant une indemnisation ultérieure, alors que chacune des « anciennes » requêtes portait sur le retard dans l</w:t>
      </w:r>
      <w:r w:rsidR="00252B50">
        <w:rPr>
          <w:lang w:val="fr-FR"/>
        </w:rPr>
        <w:t>’</w:t>
      </w:r>
      <w:r w:rsidRPr="00B31ACC">
        <w:rPr>
          <w:lang w:val="fr-FR"/>
        </w:rPr>
        <w:t>exécution de la même décision de la cour d</w:t>
      </w:r>
      <w:r w:rsidR="00252B50">
        <w:rPr>
          <w:lang w:val="fr-FR"/>
        </w:rPr>
        <w:t>’</w:t>
      </w:r>
      <w:r w:rsidRPr="00B31ACC">
        <w:rPr>
          <w:lang w:val="fr-FR"/>
        </w:rPr>
        <w:t>appel « Pinto » attaquée en cassation. Dès lors, la Cour a constaté que cet avocat avait négligé les instructions qui lui avaient été précédemment adressées, au mépris du devoir de coopération aux termes de l</w:t>
      </w:r>
      <w:r w:rsidR="00252B50">
        <w:rPr>
          <w:lang w:val="fr-FR"/>
        </w:rPr>
        <w:t>’</w:t>
      </w:r>
      <w:r w:rsidRPr="00B31ACC">
        <w:rPr>
          <w:lang w:val="fr-FR"/>
        </w:rPr>
        <w:t>article 44A du règlement, et a déclaré irrecevables car abusives les huit « nouvelles » requêtes.</w:t>
      </w:r>
    </w:p>
    <w:p w:rsidR="00FC0134" w:rsidRDefault="006260BA" w:rsidP="00E35D64">
      <w:pPr>
        <w:pStyle w:val="ECHRPara"/>
        <w:rPr>
          <w:lang w:val="fr-FR"/>
        </w:rPr>
      </w:pPr>
      <w:r>
        <w:rPr>
          <w:lang w:val="fr-FR"/>
        </w:rPr>
        <w:t>13.  </w:t>
      </w:r>
      <w:r w:rsidR="00FC0134">
        <w:rPr>
          <w:lang w:val="fr-FR"/>
        </w:rPr>
        <w:t>Il en est allé de même dans l</w:t>
      </w:r>
      <w:r w:rsidR="00252B50">
        <w:rPr>
          <w:lang w:val="fr-FR"/>
        </w:rPr>
        <w:t>’</w:t>
      </w:r>
      <w:r w:rsidR="00FC0134">
        <w:rPr>
          <w:lang w:val="fr-FR"/>
        </w:rPr>
        <w:t xml:space="preserve">affaire </w:t>
      </w:r>
      <w:proofErr w:type="spellStart"/>
      <w:r w:rsidR="00FC0134" w:rsidRPr="00D4194D">
        <w:rPr>
          <w:i/>
          <w:lang w:val="fr-FR"/>
        </w:rPr>
        <w:t>Barbato</w:t>
      </w:r>
      <w:proofErr w:type="spellEnd"/>
      <w:r w:rsidR="00FC0134" w:rsidRPr="00D4194D">
        <w:rPr>
          <w:i/>
          <w:lang w:val="fr-FR"/>
        </w:rPr>
        <w:t xml:space="preserve"> et autres c. Italie </w:t>
      </w:r>
      <w:r w:rsidR="00FC0134">
        <w:rPr>
          <w:lang w:val="fr-FR"/>
        </w:rPr>
        <w:t>(comité,</w:t>
      </w:r>
      <w:r w:rsidR="00FC0134" w:rsidRPr="00D4194D">
        <w:rPr>
          <w:lang w:val="fr-FR"/>
        </w:rPr>
        <w:t xml:space="preserve"> </w:t>
      </w:r>
      <w:r w:rsidR="00FC0134">
        <w:rPr>
          <w:lang w:val="fr-FR"/>
        </w:rPr>
        <w:t>(déc.), n</w:t>
      </w:r>
      <w:r w:rsidR="00FC0134">
        <w:rPr>
          <w:vertAlign w:val="superscript"/>
          <w:lang w:val="fr-FR"/>
        </w:rPr>
        <w:t>o</w:t>
      </w:r>
      <w:r w:rsidR="00FC0134">
        <w:rPr>
          <w:lang w:val="fr-FR"/>
        </w:rPr>
        <w:t xml:space="preserve"> </w:t>
      </w:r>
      <w:r w:rsidR="00FC0134" w:rsidRPr="00D4194D">
        <w:rPr>
          <w:lang w:val="fr-FR"/>
        </w:rPr>
        <w:t>61197/13</w:t>
      </w:r>
      <w:r w:rsidR="00FC0134">
        <w:rPr>
          <w:lang w:val="fr-FR"/>
        </w:rPr>
        <w:t>, 15 avril 2014).</w:t>
      </w:r>
    </w:p>
    <w:p w:rsidR="00FC0134" w:rsidRDefault="00FC0134" w:rsidP="00E35D64">
      <w:pPr>
        <w:pStyle w:val="ECHRPara"/>
        <w:rPr>
          <w:lang w:val="fr-FR"/>
        </w:rPr>
      </w:pPr>
      <w:r>
        <w:rPr>
          <w:lang w:val="fr-FR"/>
        </w:rPr>
        <w:t>14.  En l</w:t>
      </w:r>
      <w:r w:rsidR="00252B50">
        <w:rPr>
          <w:lang w:val="fr-FR"/>
        </w:rPr>
        <w:t>’</w:t>
      </w:r>
      <w:r>
        <w:rPr>
          <w:lang w:val="fr-FR"/>
        </w:rPr>
        <w:t>espèce, la Cour constate que les requérants ont déclaré dans le formulaire de requête du 10 juillet 2015 qu</w:t>
      </w:r>
      <w:r w:rsidR="00252B50">
        <w:rPr>
          <w:lang w:val="fr-FR"/>
        </w:rPr>
        <w:t>’</w:t>
      </w:r>
      <w:r>
        <w:rPr>
          <w:lang w:val="fr-FR"/>
        </w:rPr>
        <w:t>il n</w:t>
      </w:r>
      <w:r w:rsidR="00252B50">
        <w:rPr>
          <w:lang w:val="fr-FR"/>
        </w:rPr>
        <w:t>’</w:t>
      </w:r>
      <w:r>
        <w:rPr>
          <w:lang w:val="fr-FR"/>
        </w:rPr>
        <w:t xml:space="preserve">avait pas </w:t>
      </w:r>
      <w:r w:rsidRPr="00662B65">
        <w:rPr>
          <w:lang w:val="fr-FR"/>
        </w:rPr>
        <w:t xml:space="preserve">introduit </w:t>
      </w:r>
      <w:r>
        <w:rPr>
          <w:lang w:val="fr-FR"/>
        </w:rPr>
        <w:t>auparavant « </w:t>
      </w:r>
      <w:r w:rsidRPr="00662B65">
        <w:rPr>
          <w:lang w:val="fr-FR"/>
        </w:rPr>
        <w:t>une ou plusieurs aut</w:t>
      </w:r>
      <w:r>
        <w:rPr>
          <w:lang w:val="fr-FR"/>
        </w:rPr>
        <w:t>re(s) requête(s) devant la Cour », ce qui s</w:t>
      </w:r>
      <w:r w:rsidR="00252B50">
        <w:rPr>
          <w:lang w:val="fr-FR"/>
        </w:rPr>
        <w:t>’</w:t>
      </w:r>
      <w:r>
        <w:rPr>
          <w:lang w:val="fr-FR"/>
        </w:rPr>
        <w:t>est révélé faux, les requérants ayant déjà introduit par le biais d</w:t>
      </w:r>
      <w:r w:rsidR="00252B50">
        <w:rPr>
          <w:lang w:val="fr-FR"/>
        </w:rPr>
        <w:t>’</w:t>
      </w:r>
      <w:r>
        <w:rPr>
          <w:lang w:val="fr-FR"/>
        </w:rPr>
        <w:t>un autre avocat une requête portant sur une question qui est essentiellement la même que celle soulevée auparavant.</w:t>
      </w:r>
    </w:p>
    <w:p w:rsidR="00FC0134" w:rsidRPr="00B31ACC" w:rsidRDefault="00FC0134" w:rsidP="00E35D64">
      <w:pPr>
        <w:pStyle w:val="ECHRPara"/>
        <w:rPr>
          <w:lang w:val="fr-FR"/>
        </w:rPr>
      </w:pPr>
      <w:r>
        <w:rPr>
          <w:lang w:val="fr-FR"/>
        </w:rPr>
        <w:t>15.  Compte tenu des obligations découlant de l</w:t>
      </w:r>
      <w:r w:rsidR="00252B50">
        <w:rPr>
          <w:lang w:val="fr-FR"/>
        </w:rPr>
        <w:t>’</w:t>
      </w:r>
      <w:r>
        <w:rPr>
          <w:lang w:val="fr-FR"/>
        </w:rPr>
        <w:t xml:space="preserve">article 44A du règlement et du fait que les requérants ont fourni de fausses informations à la Cour, essentielles pour garantir un examen correcte des affaires, </w:t>
      </w:r>
      <w:r w:rsidRPr="00B31ACC">
        <w:rPr>
          <w:lang w:val="fr-FR"/>
        </w:rPr>
        <w:t>il y a lieu de déclarer les requêtes irrecevables comme étant abusives, en application de l</w:t>
      </w:r>
      <w:r w:rsidR="00252B50">
        <w:rPr>
          <w:lang w:val="fr-FR"/>
        </w:rPr>
        <w:t>’</w:t>
      </w:r>
      <w:r w:rsidRPr="00B31ACC">
        <w:rPr>
          <w:lang w:val="fr-FR"/>
        </w:rPr>
        <w:t>article 35 § 3 a) de la Convention.</w:t>
      </w:r>
    </w:p>
    <w:p w:rsidR="00FC0134" w:rsidRPr="007E6F7B" w:rsidRDefault="00FC0134" w:rsidP="00E35D64">
      <w:pPr>
        <w:pStyle w:val="JuParaLast"/>
        <w:rPr>
          <w:lang w:val="fr-FR"/>
        </w:rPr>
      </w:pPr>
      <w:r w:rsidRPr="007E6F7B">
        <w:rPr>
          <w:lang w:val="fr-FR"/>
        </w:rPr>
        <w:lastRenderedPageBreak/>
        <w:t>Par ces motifs, la Cour, à l</w:t>
      </w:r>
      <w:r w:rsidR="00252B50">
        <w:rPr>
          <w:lang w:val="fr-FR"/>
        </w:rPr>
        <w:t>’</w:t>
      </w:r>
      <w:r w:rsidRPr="007E6F7B">
        <w:rPr>
          <w:lang w:val="fr-FR"/>
        </w:rPr>
        <w:t>unanimité,</w:t>
      </w:r>
    </w:p>
    <w:p w:rsidR="00FC0134" w:rsidRPr="007E6F7B" w:rsidRDefault="00FC0134" w:rsidP="00E35D64">
      <w:pPr>
        <w:pStyle w:val="DecList"/>
        <w:rPr>
          <w:lang w:val="fr-FR"/>
        </w:rPr>
      </w:pPr>
      <w:r w:rsidRPr="007E6F7B">
        <w:rPr>
          <w:i/>
          <w:lang w:val="fr-FR"/>
        </w:rPr>
        <w:t>Déclare</w:t>
      </w:r>
      <w:r w:rsidRPr="007E6F7B">
        <w:rPr>
          <w:iCs/>
          <w:lang w:val="fr-FR"/>
        </w:rPr>
        <w:t xml:space="preserve"> </w:t>
      </w:r>
      <w:r w:rsidRPr="007E6F7B">
        <w:rPr>
          <w:lang w:val="fr-FR"/>
        </w:rPr>
        <w:t>la requête irrecevable.</w:t>
      </w:r>
    </w:p>
    <w:p w:rsidR="006544C4" w:rsidRPr="00AD4F05" w:rsidRDefault="006544C4" w:rsidP="004047FE">
      <w:pPr>
        <w:pStyle w:val="ECHRPara"/>
        <w:rPr>
          <w:sz w:val="2"/>
          <w:szCs w:val="2"/>
          <w:lang w:val="fr-FR" w:eastAsia="en-GB"/>
        </w:rPr>
      </w:pPr>
    </w:p>
    <w:p w:rsidR="006F19B0" w:rsidRPr="00AD4F05" w:rsidRDefault="00F40988" w:rsidP="006F19B0">
      <w:pPr>
        <w:pStyle w:val="JuParaLast"/>
        <w:rPr>
          <w:lang w:val="fr-FR"/>
        </w:rPr>
      </w:pPr>
      <w:r w:rsidRPr="00AD4F05">
        <w:rPr>
          <w:szCs w:val="24"/>
          <w:lang w:val="fr-FR"/>
        </w:rPr>
        <w:t xml:space="preserve">Fait en français puis communiqué par écrit le </w:t>
      </w:r>
      <w:r w:rsidR="00FC0134">
        <w:rPr>
          <w:szCs w:val="24"/>
          <w:lang w:val="fr-FR"/>
        </w:rPr>
        <w:t>12 novembre 2015</w:t>
      </w:r>
      <w:r w:rsidRPr="00AD4F05">
        <w:rPr>
          <w:lang w:val="fr-FR"/>
        </w:rPr>
        <w:t>.</w:t>
      </w:r>
    </w:p>
    <w:p w:rsidR="00CE6ED9" w:rsidRPr="00AD4F05" w:rsidRDefault="00FC0134" w:rsidP="00B87FB1">
      <w:pPr>
        <w:pStyle w:val="JuSigned"/>
        <w:rPr>
          <w:lang w:val="fr-FR"/>
        </w:rPr>
      </w:pPr>
      <w:r w:rsidRPr="00AD4F05">
        <w:rPr>
          <w:lang w:val="fr-FR"/>
        </w:rPr>
        <w:tab/>
      </w:r>
      <w:proofErr w:type="spellStart"/>
      <w:r>
        <w:rPr>
          <w:lang w:val="fr-FR"/>
        </w:rPr>
        <w:t>Fatoş</w:t>
      </w:r>
      <w:proofErr w:type="spellEnd"/>
      <w:r w:rsidRPr="00AD4F05">
        <w:rPr>
          <w:lang w:val="fr-FR"/>
        </w:rPr>
        <w:t xml:space="preserve"> </w:t>
      </w:r>
      <w:proofErr w:type="spellStart"/>
      <w:r>
        <w:rPr>
          <w:lang w:val="fr-FR"/>
        </w:rPr>
        <w:t>Aracı</w:t>
      </w:r>
      <w:proofErr w:type="spellEnd"/>
      <w:r w:rsidR="006544C4" w:rsidRPr="00AD4F05">
        <w:rPr>
          <w:lang w:val="fr-FR"/>
        </w:rPr>
        <w:tab/>
      </w:r>
      <w:proofErr w:type="spellStart"/>
      <w:r>
        <w:rPr>
          <w:lang w:val="fr-FR"/>
        </w:rPr>
        <w:t>Nona</w:t>
      </w:r>
      <w:proofErr w:type="spellEnd"/>
      <w:r w:rsidRPr="00AD4F05">
        <w:rPr>
          <w:lang w:val="fr-FR"/>
        </w:rPr>
        <w:t xml:space="preserve"> </w:t>
      </w:r>
      <w:proofErr w:type="spellStart"/>
      <w:r>
        <w:rPr>
          <w:lang w:val="fr-FR"/>
        </w:rPr>
        <w:t>Tsotsoria</w:t>
      </w:r>
      <w:proofErr w:type="spellEnd"/>
      <w:r w:rsidR="006544C4" w:rsidRPr="00AD4F05">
        <w:rPr>
          <w:lang w:val="fr-FR"/>
        </w:rPr>
        <w:br/>
      </w:r>
      <w:r w:rsidR="006544C4" w:rsidRPr="00AD4F05">
        <w:rPr>
          <w:lang w:val="fr-FR"/>
        </w:rPr>
        <w:tab/>
      </w:r>
      <w:r>
        <w:rPr>
          <w:lang w:val="fr-FR"/>
        </w:rPr>
        <w:t>Greffière adjointe</w:t>
      </w:r>
      <w:r w:rsidR="006544C4" w:rsidRPr="00AD4F05">
        <w:rPr>
          <w:lang w:val="fr-FR"/>
        </w:rPr>
        <w:tab/>
      </w:r>
      <w:r w:rsidRPr="00AD4F05">
        <w:rPr>
          <w:lang w:val="fr-FR"/>
        </w:rPr>
        <w:t>Présidente</w:t>
      </w:r>
    </w:p>
    <w:sectPr w:rsidR="00CE6ED9" w:rsidRPr="00AD4F05" w:rsidSect="00AF7102">
      <w:headerReference w:type="even" r:id="rId17"/>
      <w:headerReference w:type="default" r:id="rId18"/>
      <w:headerReference w:type="first" r:id="rId19"/>
      <w:footerReference w:type="first" r:id="rId20"/>
      <w:footnotePr>
        <w:numRestart w:val="eachPage"/>
      </w:footnotePr>
      <w:pgSz w:w="11906" w:h="16838" w:code="9"/>
      <w:pgMar w:top="2274" w:right="2274" w:bottom="2274" w:left="2274" w:header="170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9A5" w:rsidRDefault="005D29A5" w:rsidP="006544C4">
      <w:r>
        <w:separator/>
      </w:r>
    </w:p>
  </w:endnote>
  <w:endnote w:type="continuationSeparator" w:id="0">
    <w:p w:rsidR="005D29A5" w:rsidRDefault="005D29A5" w:rsidP="00654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134" w:rsidRPr="00150BFA" w:rsidRDefault="00FC0134" w:rsidP="0020718E">
    <w:pPr>
      <w:jc w:val="center"/>
    </w:pPr>
    <w:r>
      <w:rPr>
        <w:noProof/>
        <w:lang w:val="it-IT" w:eastAsia="it-IT"/>
      </w:rPr>
      <w:drawing>
        <wp:inline distT="0" distB="0" distL="0" distR="0" wp14:anchorId="5D3F4653" wp14:editId="5F79C028">
          <wp:extent cx="771525" cy="619125"/>
          <wp:effectExtent l="0" t="0" r="9525" b="9525"/>
          <wp:docPr id="3" name="Picture 3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Pr="00633A19" w:rsidRDefault="005D29A5" w:rsidP="003146E4">
    <w:pPr>
      <w:jc w:val="center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9A5" w:rsidRDefault="005D29A5" w:rsidP="006544C4">
      <w:r>
        <w:separator/>
      </w:r>
    </w:p>
  </w:footnote>
  <w:footnote w:type="continuationSeparator" w:id="0">
    <w:p w:rsidR="005D29A5" w:rsidRDefault="005D29A5" w:rsidP="006544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D62" w:rsidRPr="00420F07" w:rsidRDefault="00FC0134" w:rsidP="003312A3">
    <w:pPr>
      <w:pStyle w:val="ECHRHeader"/>
      <w:rPr>
        <w:lang w:val="fr-FR"/>
      </w:rPr>
    </w:pPr>
    <w:r>
      <w:rPr>
        <w:rStyle w:val="Numeropagina"/>
        <w:lang w:val="en-GB"/>
      </w:rPr>
      <w:fldChar w:fldCharType="begin"/>
    </w:r>
    <w:r w:rsidRPr="00420F07">
      <w:rPr>
        <w:rStyle w:val="Numeropagina"/>
        <w:lang w:val="fr-FR"/>
      </w:rPr>
      <w:instrText xml:space="preserve"> PAGE </w:instrText>
    </w:r>
    <w:r>
      <w:rPr>
        <w:rStyle w:val="Numeropagina"/>
        <w:lang w:val="en-GB"/>
      </w:rPr>
      <w:fldChar w:fldCharType="separate"/>
    </w:r>
    <w:r w:rsidR="00884394">
      <w:rPr>
        <w:rStyle w:val="Numeropagina"/>
        <w:noProof/>
        <w:lang w:val="fr-FR"/>
      </w:rPr>
      <w:t>2</w:t>
    </w:r>
    <w:r>
      <w:rPr>
        <w:rStyle w:val="Numeropagina"/>
        <w:lang w:val="en-GB"/>
      </w:rPr>
      <w:fldChar w:fldCharType="end"/>
    </w:r>
    <w:r w:rsidR="00334EC5" w:rsidRPr="00420F07">
      <w:rPr>
        <w:lang w:val="fr-FR"/>
      </w:rPr>
      <w:tab/>
      <w:t xml:space="preserve">DÉCISION </w:t>
    </w:r>
    <w:r w:rsidRPr="00420F07">
      <w:rPr>
        <w:lang w:val="fr-FR"/>
      </w:rPr>
      <w:t>RINALDI ET CANNOVA c. ITALIE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D62" w:rsidRPr="00420F07" w:rsidRDefault="00334EC5" w:rsidP="006544C4">
    <w:pPr>
      <w:pStyle w:val="ECHRHeader"/>
      <w:rPr>
        <w:lang w:val="fr-FR"/>
      </w:rPr>
    </w:pPr>
    <w:r>
      <w:tab/>
    </w:r>
    <w:r w:rsidRPr="00420F07">
      <w:rPr>
        <w:lang w:val="fr-FR"/>
      </w:rPr>
      <w:t xml:space="preserve">DÉCISION </w:t>
    </w:r>
    <w:r w:rsidR="00FC0134" w:rsidRPr="00420F07">
      <w:rPr>
        <w:lang w:val="fr-FR"/>
      </w:rPr>
      <w:t>RINALDI ET CANNOVA c. ITALIE</w:t>
    </w:r>
    <w:r w:rsidRPr="00420F07">
      <w:rPr>
        <w:lang w:val="fr-FR"/>
      </w:rPr>
      <w:tab/>
    </w:r>
    <w:r w:rsidR="00FC0134">
      <w:rPr>
        <w:rStyle w:val="Numeropagina"/>
        <w:lang w:val="en-GB"/>
      </w:rPr>
      <w:fldChar w:fldCharType="begin"/>
    </w:r>
    <w:r w:rsidR="00FC0134" w:rsidRPr="00420F07">
      <w:rPr>
        <w:rStyle w:val="Numeropagina"/>
        <w:lang w:val="fr-FR"/>
      </w:rPr>
      <w:instrText xml:space="preserve"> PAGE </w:instrText>
    </w:r>
    <w:r w:rsidR="00FC0134">
      <w:rPr>
        <w:rStyle w:val="Numeropagina"/>
        <w:lang w:val="en-GB"/>
      </w:rPr>
      <w:fldChar w:fldCharType="separate"/>
    </w:r>
    <w:r w:rsidR="00884394">
      <w:rPr>
        <w:rStyle w:val="Numeropagina"/>
        <w:noProof/>
        <w:lang w:val="fr-FR"/>
      </w:rPr>
      <w:t>3</w:t>
    </w:r>
    <w:r w:rsidR="00FC0134">
      <w:rPr>
        <w:rStyle w:val="Numeropagina"/>
        <w:lang w:val="en-GB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134" w:rsidRPr="00A45145" w:rsidRDefault="00FC0134" w:rsidP="00A45145">
    <w:pPr>
      <w:jc w:val="center"/>
    </w:pPr>
    <w:r>
      <w:rPr>
        <w:noProof/>
        <w:lang w:val="it-IT" w:eastAsia="it-IT"/>
      </w:rPr>
      <w:drawing>
        <wp:inline distT="0" distB="0" distL="0" distR="0" wp14:anchorId="2EBD176F" wp14:editId="2738C6C1">
          <wp:extent cx="2962275" cy="1219200"/>
          <wp:effectExtent l="0" t="0" r="9525" b="0"/>
          <wp:docPr id="1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Default="005D29A5" w:rsidP="003146E4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26C5606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784B494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2BEA742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0CE4694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B0CDA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3FAB61E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7A584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5A107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E83B68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15E9F4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16086F"/>
    <w:multiLevelType w:val="multilevel"/>
    <w:tmpl w:val="F842BC8C"/>
    <w:lvl w:ilvl="0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1">
    <w:nsid w:val="0F5865E5"/>
    <w:multiLevelType w:val="multilevel"/>
    <w:tmpl w:val="9B34AC6C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2">
    <w:nsid w:val="388D47DE"/>
    <w:multiLevelType w:val="multilevel"/>
    <w:tmpl w:val="8012C870"/>
    <w:lvl w:ilvl="0">
      <w:start w:val="1"/>
      <w:numFmt w:val="decimal"/>
      <w:lvlText w:val="%1."/>
      <w:lvlJc w:val="left"/>
      <w:pPr>
        <w:ind w:left="992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590D1DC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26306C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7CCD2930"/>
    <w:multiLevelType w:val="multilevel"/>
    <w:tmpl w:val="0409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2"/>
  </w:num>
  <w:num w:numId="2">
    <w:abstractNumId w:val="1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1"/>
  </w:num>
  <w:num w:numId="6">
    <w:abstractNumId w:val="10"/>
  </w:num>
  <w:num w:numId="7">
    <w:abstractNumId w:val="11"/>
  </w:num>
  <w:num w:numId="8">
    <w:abstractNumId w:val="7"/>
  </w:num>
  <w:num w:numId="9">
    <w:abstractNumId w:val="6"/>
  </w:num>
  <w:num w:numId="10">
    <w:abstractNumId w:val="15"/>
  </w:num>
  <w:num w:numId="11">
    <w:abstractNumId w:val="15"/>
  </w:num>
  <w:num w:numId="12">
    <w:abstractNumId w:val="13"/>
  </w:num>
  <w:num w:numId="13">
    <w:abstractNumId w:val="14"/>
  </w:num>
  <w:num w:numId="14">
    <w:abstractNumId w:val="1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licationsApp" w:val="1"/>
    <w:docVar w:name="AppNatAutre" w:val="0"/>
    <w:docVar w:name="DocVarPREMATURE" w:val="0"/>
    <w:docVar w:name="EMM" w:val="0"/>
    <w:docVar w:name="ETRANSMISSION" w:val="PAR VOIE ÉLECTRONIQUE UNIQUEMENT"/>
    <w:docVar w:name="L4_1Annex" w:val="0"/>
    <w:docVar w:name="L4_1Anonymity" w:val="0"/>
    <w:docVar w:name="NBEMMDOC" w:val="0"/>
    <w:docVar w:name="Plural" w:val="0"/>
    <w:docVar w:name="SignForeName" w:val="0"/>
  </w:docVars>
  <w:rsids>
    <w:rsidRoot w:val="00FC0134"/>
    <w:rsid w:val="000041F8"/>
    <w:rsid w:val="000042A8"/>
    <w:rsid w:val="00004308"/>
    <w:rsid w:val="00005BF0"/>
    <w:rsid w:val="00007154"/>
    <w:rsid w:val="000103AE"/>
    <w:rsid w:val="00011D69"/>
    <w:rsid w:val="00012AD3"/>
    <w:rsid w:val="00015C2D"/>
    <w:rsid w:val="00015F00"/>
    <w:rsid w:val="00022C1D"/>
    <w:rsid w:val="00024C5C"/>
    <w:rsid w:val="00034987"/>
    <w:rsid w:val="000602DF"/>
    <w:rsid w:val="00061B05"/>
    <w:rsid w:val="000632D5"/>
    <w:rsid w:val="000644EE"/>
    <w:rsid w:val="000925AD"/>
    <w:rsid w:val="000A24EB"/>
    <w:rsid w:val="000B6923"/>
    <w:rsid w:val="000C251A"/>
    <w:rsid w:val="000C5F3C"/>
    <w:rsid w:val="000C6DCC"/>
    <w:rsid w:val="000D47AA"/>
    <w:rsid w:val="000D721F"/>
    <w:rsid w:val="000E069B"/>
    <w:rsid w:val="000E0E82"/>
    <w:rsid w:val="000E1DC5"/>
    <w:rsid w:val="000E223F"/>
    <w:rsid w:val="000E7D45"/>
    <w:rsid w:val="000F7851"/>
    <w:rsid w:val="00104E23"/>
    <w:rsid w:val="00111B0C"/>
    <w:rsid w:val="00120D6C"/>
    <w:rsid w:val="001257EC"/>
    <w:rsid w:val="00133D33"/>
    <w:rsid w:val="00134D64"/>
    <w:rsid w:val="00135A30"/>
    <w:rsid w:val="0013612C"/>
    <w:rsid w:val="00137FF6"/>
    <w:rsid w:val="00141650"/>
    <w:rsid w:val="00162A12"/>
    <w:rsid w:val="00166530"/>
    <w:rsid w:val="0016678F"/>
    <w:rsid w:val="001832BD"/>
    <w:rsid w:val="001943B5"/>
    <w:rsid w:val="00195134"/>
    <w:rsid w:val="001A145B"/>
    <w:rsid w:val="001A674C"/>
    <w:rsid w:val="001B3B24"/>
    <w:rsid w:val="001C0F98"/>
    <w:rsid w:val="001C2A42"/>
    <w:rsid w:val="001D63ED"/>
    <w:rsid w:val="001D7348"/>
    <w:rsid w:val="001E035B"/>
    <w:rsid w:val="001E0961"/>
    <w:rsid w:val="001E3EAE"/>
    <w:rsid w:val="001E6F32"/>
    <w:rsid w:val="001F18AB"/>
    <w:rsid w:val="001F2145"/>
    <w:rsid w:val="001F6262"/>
    <w:rsid w:val="001F67B0"/>
    <w:rsid w:val="001F7B3D"/>
    <w:rsid w:val="00205F9F"/>
    <w:rsid w:val="00210338"/>
    <w:rsid w:val="002115FC"/>
    <w:rsid w:val="0021423C"/>
    <w:rsid w:val="00230D00"/>
    <w:rsid w:val="00231DF7"/>
    <w:rsid w:val="00231FD1"/>
    <w:rsid w:val="002339E0"/>
    <w:rsid w:val="00233CF8"/>
    <w:rsid w:val="00234E8A"/>
    <w:rsid w:val="0023575D"/>
    <w:rsid w:val="00237148"/>
    <w:rsid w:val="0024222D"/>
    <w:rsid w:val="00244B0E"/>
    <w:rsid w:val="00244F6C"/>
    <w:rsid w:val="00252B50"/>
    <w:rsid w:val="002532C5"/>
    <w:rsid w:val="00260C03"/>
    <w:rsid w:val="0026540E"/>
    <w:rsid w:val="00275123"/>
    <w:rsid w:val="00282240"/>
    <w:rsid w:val="002948AD"/>
    <w:rsid w:val="002A01CC"/>
    <w:rsid w:val="002A61B1"/>
    <w:rsid w:val="002A663C"/>
    <w:rsid w:val="002B444B"/>
    <w:rsid w:val="002B5887"/>
    <w:rsid w:val="002C0E27"/>
    <w:rsid w:val="002C3040"/>
    <w:rsid w:val="002D022D"/>
    <w:rsid w:val="002D24BB"/>
    <w:rsid w:val="002F2AF7"/>
    <w:rsid w:val="002F7E1C"/>
    <w:rsid w:val="00301A75"/>
    <w:rsid w:val="00302F70"/>
    <w:rsid w:val="0030336F"/>
    <w:rsid w:val="0030375E"/>
    <w:rsid w:val="00312A30"/>
    <w:rsid w:val="00320F72"/>
    <w:rsid w:val="0032463E"/>
    <w:rsid w:val="00326224"/>
    <w:rsid w:val="003312A3"/>
    <w:rsid w:val="00334EC5"/>
    <w:rsid w:val="00337EE4"/>
    <w:rsid w:val="00340FFD"/>
    <w:rsid w:val="003506B1"/>
    <w:rsid w:val="00356AC7"/>
    <w:rsid w:val="003609FA"/>
    <w:rsid w:val="003710C8"/>
    <w:rsid w:val="003750BE"/>
    <w:rsid w:val="00381AF0"/>
    <w:rsid w:val="00387B9D"/>
    <w:rsid w:val="0039055E"/>
    <w:rsid w:val="0039364F"/>
    <w:rsid w:val="00396686"/>
    <w:rsid w:val="0039778E"/>
    <w:rsid w:val="003B4941"/>
    <w:rsid w:val="003C5714"/>
    <w:rsid w:val="003C6B9F"/>
    <w:rsid w:val="003C6E2A"/>
    <w:rsid w:val="003D0299"/>
    <w:rsid w:val="003E6D80"/>
    <w:rsid w:val="003E747B"/>
    <w:rsid w:val="003F05FA"/>
    <w:rsid w:val="003F244A"/>
    <w:rsid w:val="003F30B8"/>
    <w:rsid w:val="003F4C45"/>
    <w:rsid w:val="003F5F7B"/>
    <w:rsid w:val="003F7D64"/>
    <w:rsid w:val="004047FE"/>
    <w:rsid w:val="00414300"/>
    <w:rsid w:val="00420F07"/>
    <w:rsid w:val="00425C67"/>
    <w:rsid w:val="00427E7A"/>
    <w:rsid w:val="00436C49"/>
    <w:rsid w:val="00445366"/>
    <w:rsid w:val="00447F5B"/>
    <w:rsid w:val="00461DB0"/>
    <w:rsid w:val="00463926"/>
    <w:rsid w:val="00464C9A"/>
    <w:rsid w:val="00474F3D"/>
    <w:rsid w:val="00477E3A"/>
    <w:rsid w:val="00483E5F"/>
    <w:rsid w:val="0048597F"/>
    <w:rsid w:val="00485FF9"/>
    <w:rsid w:val="004907F0"/>
    <w:rsid w:val="0049140B"/>
    <w:rsid w:val="004923A5"/>
    <w:rsid w:val="00496BFB"/>
    <w:rsid w:val="004A15C7"/>
    <w:rsid w:val="004B013B"/>
    <w:rsid w:val="004B112B"/>
    <w:rsid w:val="004C01E4"/>
    <w:rsid w:val="004C086C"/>
    <w:rsid w:val="004C1F56"/>
    <w:rsid w:val="004C27BC"/>
    <w:rsid w:val="004D15F3"/>
    <w:rsid w:val="004D5311"/>
    <w:rsid w:val="004D5DCC"/>
    <w:rsid w:val="004F10AF"/>
    <w:rsid w:val="004F11A4"/>
    <w:rsid w:val="004F2389"/>
    <w:rsid w:val="004F304D"/>
    <w:rsid w:val="004F61BE"/>
    <w:rsid w:val="004F66B1"/>
    <w:rsid w:val="00511C07"/>
    <w:rsid w:val="005173A6"/>
    <w:rsid w:val="00520BAA"/>
    <w:rsid w:val="00525208"/>
    <w:rsid w:val="005257A5"/>
    <w:rsid w:val="005264C0"/>
    <w:rsid w:val="00526A8A"/>
    <w:rsid w:val="00531DF2"/>
    <w:rsid w:val="005442EE"/>
    <w:rsid w:val="00547353"/>
    <w:rsid w:val="005474E7"/>
    <w:rsid w:val="005512A3"/>
    <w:rsid w:val="005578CE"/>
    <w:rsid w:val="00562781"/>
    <w:rsid w:val="0057271C"/>
    <w:rsid w:val="00572845"/>
    <w:rsid w:val="00592772"/>
    <w:rsid w:val="0059574A"/>
    <w:rsid w:val="005A1B9B"/>
    <w:rsid w:val="005A6751"/>
    <w:rsid w:val="005B092E"/>
    <w:rsid w:val="005B152C"/>
    <w:rsid w:val="005B1EE0"/>
    <w:rsid w:val="005B2B24"/>
    <w:rsid w:val="005B4425"/>
    <w:rsid w:val="005B4B94"/>
    <w:rsid w:val="005C3EE8"/>
    <w:rsid w:val="005D29A5"/>
    <w:rsid w:val="005D34F9"/>
    <w:rsid w:val="005D4190"/>
    <w:rsid w:val="005D67A3"/>
    <w:rsid w:val="005E2988"/>
    <w:rsid w:val="005E3085"/>
    <w:rsid w:val="005F51E1"/>
    <w:rsid w:val="00611C80"/>
    <w:rsid w:val="00620692"/>
    <w:rsid w:val="006242CA"/>
    <w:rsid w:val="006260BA"/>
    <w:rsid w:val="00627507"/>
    <w:rsid w:val="00633717"/>
    <w:rsid w:val="006344E1"/>
    <w:rsid w:val="006544C4"/>
    <w:rsid w:val="006545C4"/>
    <w:rsid w:val="00661971"/>
    <w:rsid w:val="00661CE8"/>
    <w:rsid w:val="006623D9"/>
    <w:rsid w:val="0066550C"/>
    <w:rsid w:val="006716F2"/>
    <w:rsid w:val="00682BF2"/>
    <w:rsid w:val="006859CE"/>
    <w:rsid w:val="00691270"/>
    <w:rsid w:val="00694BA8"/>
    <w:rsid w:val="006A037C"/>
    <w:rsid w:val="006A36F4"/>
    <w:rsid w:val="006A406F"/>
    <w:rsid w:val="006A5D3A"/>
    <w:rsid w:val="006C23D4"/>
    <w:rsid w:val="006C7BB0"/>
    <w:rsid w:val="006D3237"/>
    <w:rsid w:val="006E2E37"/>
    <w:rsid w:val="006E3CF1"/>
    <w:rsid w:val="006E7E80"/>
    <w:rsid w:val="006F19B0"/>
    <w:rsid w:val="006F3EF8"/>
    <w:rsid w:val="006F48CA"/>
    <w:rsid w:val="006F64DD"/>
    <w:rsid w:val="00715127"/>
    <w:rsid w:val="00715E8E"/>
    <w:rsid w:val="00723580"/>
    <w:rsid w:val="00723755"/>
    <w:rsid w:val="0073136C"/>
    <w:rsid w:val="00731F0F"/>
    <w:rsid w:val="00733250"/>
    <w:rsid w:val="00741404"/>
    <w:rsid w:val="007449E5"/>
    <w:rsid w:val="00747FF0"/>
    <w:rsid w:val="00764D4E"/>
    <w:rsid w:val="00765A1F"/>
    <w:rsid w:val="00775B6D"/>
    <w:rsid w:val="00776D68"/>
    <w:rsid w:val="007850EE"/>
    <w:rsid w:val="00785B95"/>
    <w:rsid w:val="00790E96"/>
    <w:rsid w:val="00793366"/>
    <w:rsid w:val="007A716F"/>
    <w:rsid w:val="007B270A"/>
    <w:rsid w:val="007C0695"/>
    <w:rsid w:val="007C419A"/>
    <w:rsid w:val="007C4CC8"/>
    <w:rsid w:val="007C5426"/>
    <w:rsid w:val="007C5798"/>
    <w:rsid w:val="007D4832"/>
    <w:rsid w:val="007E21B2"/>
    <w:rsid w:val="007E2C4E"/>
    <w:rsid w:val="007F1905"/>
    <w:rsid w:val="00801300"/>
    <w:rsid w:val="00802C64"/>
    <w:rsid w:val="00805E52"/>
    <w:rsid w:val="008061D0"/>
    <w:rsid w:val="00810B38"/>
    <w:rsid w:val="008204C7"/>
    <w:rsid w:val="00820992"/>
    <w:rsid w:val="00823602"/>
    <w:rsid w:val="008255F5"/>
    <w:rsid w:val="0083014E"/>
    <w:rsid w:val="0083214A"/>
    <w:rsid w:val="00834220"/>
    <w:rsid w:val="00845723"/>
    <w:rsid w:val="00851EF9"/>
    <w:rsid w:val="008577FD"/>
    <w:rsid w:val="00860B03"/>
    <w:rsid w:val="0086497A"/>
    <w:rsid w:val="008713A1"/>
    <w:rsid w:val="008754AB"/>
    <w:rsid w:val="0088060C"/>
    <w:rsid w:val="00884394"/>
    <w:rsid w:val="00893576"/>
    <w:rsid w:val="00893E73"/>
    <w:rsid w:val="008B02DC"/>
    <w:rsid w:val="008B57CE"/>
    <w:rsid w:val="008C26DE"/>
    <w:rsid w:val="008C4AA6"/>
    <w:rsid w:val="008D2225"/>
    <w:rsid w:val="008D4752"/>
    <w:rsid w:val="008E271C"/>
    <w:rsid w:val="008E418E"/>
    <w:rsid w:val="008E5BC6"/>
    <w:rsid w:val="008E6A25"/>
    <w:rsid w:val="008F5193"/>
    <w:rsid w:val="009013A7"/>
    <w:rsid w:val="009017FB"/>
    <w:rsid w:val="009017FC"/>
    <w:rsid w:val="0090506B"/>
    <w:rsid w:val="009050C9"/>
    <w:rsid w:val="009066FC"/>
    <w:rsid w:val="009140A3"/>
    <w:rsid w:val="009144A2"/>
    <w:rsid w:val="0091510C"/>
    <w:rsid w:val="009259AC"/>
    <w:rsid w:val="00926F38"/>
    <w:rsid w:val="00934301"/>
    <w:rsid w:val="00934A97"/>
    <w:rsid w:val="00936CD1"/>
    <w:rsid w:val="00941747"/>
    <w:rsid w:val="00941EFB"/>
    <w:rsid w:val="00947AFB"/>
    <w:rsid w:val="00951D7D"/>
    <w:rsid w:val="009630C7"/>
    <w:rsid w:val="00972B55"/>
    <w:rsid w:val="009743B7"/>
    <w:rsid w:val="00977DA8"/>
    <w:rsid w:val="0098228B"/>
    <w:rsid w:val="009828DA"/>
    <w:rsid w:val="00985BAB"/>
    <w:rsid w:val="00986C9F"/>
    <w:rsid w:val="009B1B5F"/>
    <w:rsid w:val="009B6673"/>
    <w:rsid w:val="009C191B"/>
    <w:rsid w:val="009C2BD6"/>
    <w:rsid w:val="009E1F32"/>
    <w:rsid w:val="009E776C"/>
    <w:rsid w:val="00A1726E"/>
    <w:rsid w:val="00A204CF"/>
    <w:rsid w:val="00A23D49"/>
    <w:rsid w:val="00A27004"/>
    <w:rsid w:val="00A30C29"/>
    <w:rsid w:val="00A34DD6"/>
    <w:rsid w:val="00A36819"/>
    <w:rsid w:val="00A36989"/>
    <w:rsid w:val="00A43628"/>
    <w:rsid w:val="00A54192"/>
    <w:rsid w:val="00A6035E"/>
    <w:rsid w:val="00A6144C"/>
    <w:rsid w:val="00A66617"/>
    <w:rsid w:val="00A671F8"/>
    <w:rsid w:val="00A673A4"/>
    <w:rsid w:val="00A724AE"/>
    <w:rsid w:val="00A73329"/>
    <w:rsid w:val="00A82359"/>
    <w:rsid w:val="00A865D2"/>
    <w:rsid w:val="00A94C20"/>
    <w:rsid w:val="00AA227F"/>
    <w:rsid w:val="00AA3BC7"/>
    <w:rsid w:val="00AA754A"/>
    <w:rsid w:val="00AB099E"/>
    <w:rsid w:val="00AB4328"/>
    <w:rsid w:val="00AD4F05"/>
    <w:rsid w:val="00AE0A2E"/>
    <w:rsid w:val="00AE354C"/>
    <w:rsid w:val="00AF4B07"/>
    <w:rsid w:val="00AF6186"/>
    <w:rsid w:val="00AF7102"/>
    <w:rsid w:val="00AF7A3A"/>
    <w:rsid w:val="00B160DB"/>
    <w:rsid w:val="00B20836"/>
    <w:rsid w:val="00B235BB"/>
    <w:rsid w:val="00B27A44"/>
    <w:rsid w:val="00B30BBF"/>
    <w:rsid w:val="00B33C03"/>
    <w:rsid w:val="00B44E56"/>
    <w:rsid w:val="00B46543"/>
    <w:rsid w:val="00B47D33"/>
    <w:rsid w:val="00B52BE0"/>
    <w:rsid w:val="00B54133"/>
    <w:rsid w:val="00B701ED"/>
    <w:rsid w:val="00B8086C"/>
    <w:rsid w:val="00B861B4"/>
    <w:rsid w:val="00B86DFE"/>
    <w:rsid w:val="00B87FB1"/>
    <w:rsid w:val="00B90990"/>
    <w:rsid w:val="00B922FF"/>
    <w:rsid w:val="00B9281E"/>
    <w:rsid w:val="00B93925"/>
    <w:rsid w:val="00B95187"/>
    <w:rsid w:val="00BA2D55"/>
    <w:rsid w:val="00BA71B1"/>
    <w:rsid w:val="00BB0637"/>
    <w:rsid w:val="00BB345F"/>
    <w:rsid w:val="00BB68EA"/>
    <w:rsid w:val="00BC1C27"/>
    <w:rsid w:val="00BC6BBF"/>
    <w:rsid w:val="00BD1572"/>
    <w:rsid w:val="00BE14E3"/>
    <w:rsid w:val="00BE3001"/>
    <w:rsid w:val="00BE3774"/>
    <w:rsid w:val="00BE41E5"/>
    <w:rsid w:val="00BF4109"/>
    <w:rsid w:val="00BF4CC3"/>
    <w:rsid w:val="00C054C7"/>
    <w:rsid w:val="00C057B5"/>
    <w:rsid w:val="00C22687"/>
    <w:rsid w:val="00C32E4D"/>
    <w:rsid w:val="00C333A0"/>
    <w:rsid w:val="00C36408"/>
    <w:rsid w:val="00C36A81"/>
    <w:rsid w:val="00C41974"/>
    <w:rsid w:val="00C53F4A"/>
    <w:rsid w:val="00C54125"/>
    <w:rsid w:val="00C55B54"/>
    <w:rsid w:val="00C6098E"/>
    <w:rsid w:val="00C6152C"/>
    <w:rsid w:val="00C74810"/>
    <w:rsid w:val="00C90D68"/>
    <w:rsid w:val="00C939FE"/>
    <w:rsid w:val="00CA4BDA"/>
    <w:rsid w:val="00CB1F66"/>
    <w:rsid w:val="00CB2951"/>
    <w:rsid w:val="00CD282B"/>
    <w:rsid w:val="00CD4C35"/>
    <w:rsid w:val="00CD7369"/>
    <w:rsid w:val="00CE0B0E"/>
    <w:rsid w:val="00CE3831"/>
    <w:rsid w:val="00CE6ED9"/>
    <w:rsid w:val="00D00ABB"/>
    <w:rsid w:val="00D02EEC"/>
    <w:rsid w:val="00D03551"/>
    <w:rsid w:val="00D06A63"/>
    <w:rsid w:val="00D07E0E"/>
    <w:rsid w:val="00D11478"/>
    <w:rsid w:val="00D15ED0"/>
    <w:rsid w:val="00D21B3E"/>
    <w:rsid w:val="00D21FED"/>
    <w:rsid w:val="00D24251"/>
    <w:rsid w:val="00D343E2"/>
    <w:rsid w:val="00D361A2"/>
    <w:rsid w:val="00D44C2E"/>
    <w:rsid w:val="00D45414"/>
    <w:rsid w:val="00D566BD"/>
    <w:rsid w:val="00D57A4D"/>
    <w:rsid w:val="00D60AA7"/>
    <w:rsid w:val="00D6435F"/>
    <w:rsid w:val="00D75E28"/>
    <w:rsid w:val="00D772C2"/>
    <w:rsid w:val="00D8008E"/>
    <w:rsid w:val="00D82C45"/>
    <w:rsid w:val="00D908A8"/>
    <w:rsid w:val="00D977B6"/>
    <w:rsid w:val="00DA1E09"/>
    <w:rsid w:val="00DA4A31"/>
    <w:rsid w:val="00DA7B04"/>
    <w:rsid w:val="00DB36C2"/>
    <w:rsid w:val="00DC169B"/>
    <w:rsid w:val="00DC2AB9"/>
    <w:rsid w:val="00DC63F0"/>
    <w:rsid w:val="00DD6EE5"/>
    <w:rsid w:val="00DE386C"/>
    <w:rsid w:val="00DE4D35"/>
    <w:rsid w:val="00DF098B"/>
    <w:rsid w:val="00DF1114"/>
    <w:rsid w:val="00DF11C4"/>
    <w:rsid w:val="00DF210C"/>
    <w:rsid w:val="00DF4B6A"/>
    <w:rsid w:val="00E02897"/>
    <w:rsid w:val="00E02C09"/>
    <w:rsid w:val="00E04D59"/>
    <w:rsid w:val="00E07DA1"/>
    <w:rsid w:val="00E123CB"/>
    <w:rsid w:val="00E20E13"/>
    <w:rsid w:val="00E21DBC"/>
    <w:rsid w:val="00E275D7"/>
    <w:rsid w:val="00E27DBE"/>
    <w:rsid w:val="00E32AB1"/>
    <w:rsid w:val="00E36C71"/>
    <w:rsid w:val="00E40404"/>
    <w:rsid w:val="00E459C6"/>
    <w:rsid w:val="00E47589"/>
    <w:rsid w:val="00E64915"/>
    <w:rsid w:val="00E661D4"/>
    <w:rsid w:val="00E70091"/>
    <w:rsid w:val="00E720F5"/>
    <w:rsid w:val="00E76D47"/>
    <w:rsid w:val="00E849F7"/>
    <w:rsid w:val="00E8668A"/>
    <w:rsid w:val="00E90302"/>
    <w:rsid w:val="00E97396"/>
    <w:rsid w:val="00EA185E"/>
    <w:rsid w:val="00EA592A"/>
    <w:rsid w:val="00EB14E4"/>
    <w:rsid w:val="00EB32A5"/>
    <w:rsid w:val="00EB34ED"/>
    <w:rsid w:val="00EB7BE0"/>
    <w:rsid w:val="00EC315E"/>
    <w:rsid w:val="00EC762A"/>
    <w:rsid w:val="00EC78A3"/>
    <w:rsid w:val="00ED077C"/>
    <w:rsid w:val="00ED1190"/>
    <w:rsid w:val="00ED6544"/>
    <w:rsid w:val="00EE0277"/>
    <w:rsid w:val="00EE3E00"/>
    <w:rsid w:val="00EE5DD2"/>
    <w:rsid w:val="00F00A79"/>
    <w:rsid w:val="00F00E86"/>
    <w:rsid w:val="00F07C1E"/>
    <w:rsid w:val="00F105DB"/>
    <w:rsid w:val="00F132BC"/>
    <w:rsid w:val="00F13D80"/>
    <w:rsid w:val="00F16AAA"/>
    <w:rsid w:val="00F21161"/>
    <w:rsid w:val="00F218EF"/>
    <w:rsid w:val="00F21BC7"/>
    <w:rsid w:val="00F266A2"/>
    <w:rsid w:val="00F32269"/>
    <w:rsid w:val="00F40988"/>
    <w:rsid w:val="00F50F09"/>
    <w:rsid w:val="00F56A6F"/>
    <w:rsid w:val="00F5709C"/>
    <w:rsid w:val="00F64EF1"/>
    <w:rsid w:val="00F8765F"/>
    <w:rsid w:val="00F90767"/>
    <w:rsid w:val="00FA685B"/>
    <w:rsid w:val="00FB0C01"/>
    <w:rsid w:val="00FC0134"/>
    <w:rsid w:val="00FC18F2"/>
    <w:rsid w:val="00FC39E5"/>
    <w:rsid w:val="00FC3A78"/>
    <w:rsid w:val="00FC5F6C"/>
    <w:rsid w:val="00FD1005"/>
    <w:rsid w:val="00FD6C75"/>
    <w:rsid w:val="00FE71B3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8" w:qFormat="1"/>
    <w:lsdException w:name="heading 2" w:semiHidden="1" w:uiPriority="98" w:unhideWhenUsed="1" w:qFormat="1"/>
    <w:lsdException w:name="heading 3" w:semiHidden="1" w:uiPriority="98" w:unhideWhenUsed="1" w:qFormat="1"/>
    <w:lsdException w:name="heading 4" w:semiHidden="1" w:uiPriority="98" w:unhideWhenUsed="1" w:qFormat="1"/>
    <w:lsdException w:name="heading 5" w:semiHidden="1" w:unhideWhenUsed="1" w:qFormat="1"/>
    <w:lsdException w:name="heading 6" w:semiHidden="1" w:uiPriority="98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5" w:unhideWhenUsed="1"/>
    <w:lsdException w:name="annotation text" w:semiHidden="1" w:uiPriority="0" w:unhideWhenUsed="1"/>
    <w:lsdException w:name="header" w:semiHidden="1" w:uiPriority="82" w:unhideWhenUsed="1"/>
    <w:lsdException w:name="footer" w:semiHidden="1" w:uiPriority="83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semiHidden/>
    <w:rsid w:val="006544C4"/>
    <w:pPr>
      <w:jc w:val="both"/>
    </w:pPr>
    <w:rPr>
      <w:rFonts w:eastAsiaTheme="minorEastAsia"/>
      <w:sz w:val="24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941747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941747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941747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941747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6544C4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941747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6544C4"/>
    <w:pPr>
      <w:outlineLvl w:val="6"/>
    </w:pPr>
    <w:rPr>
      <w:rFonts w:asciiTheme="majorHAnsi" w:eastAsiaTheme="majorEastAsia" w:hAnsiTheme="majorHAnsi" w:cstheme="majorBidi"/>
      <w:i/>
      <w:iCs/>
      <w:sz w:val="22"/>
      <w:lang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6544C4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6544C4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94174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71F8"/>
    <w:rPr>
      <w:rFonts w:ascii="Tahoma" w:eastAsiaTheme="minorEastAsia" w:hAnsi="Tahoma" w:cs="Tahoma"/>
      <w:sz w:val="16"/>
      <w:szCs w:val="16"/>
    </w:rPr>
  </w:style>
  <w:style w:type="character" w:styleId="Titolodellibro">
    <w:name w:val="Book Title"/>
    <w:uiPriority w:val="99"/>
    <w:semiHidden/>
    <w:qFormat/>
    <w:rsid w:val="006544C4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Intestazione"/>
    <w:uiPriority w:val="4"/>
    <w:qFormat/>
    <w:rsid w:val="006544C4"/>
    <w:pPr>
      <w:tabs>
        <w:tab w:val="clear" w:pos="4536"/>
        <w:tab w:val="clear" w:pos="9696"/>
        <w:tab w:val="center" w:pos="3686"/>
        <w:tab w:val="right" w:pos="7371"/>
      </w:tabs>
      <w:ind w:left="0" w:right="0"/>
      <w:jc w:val="left"/>
    </w:pPr>
    <w:rPr>
      <w:rFonts w:eastAsiaTheme="minorHAnsi"/>
      <w:sz w:val="18"/>
    </w:rPr>
  </w:style>
  <w:style w:type="paragraph" w:customStyle="1" w:styleId="JuAppQuestion">
    <w:name w:val="Ju_App_Question"/>
    <w:basedOn w:val="Normale"/>
    <w:uiPriority w:val="5"/>
    <w:qFormat/>
    <w:rsid w:val="006544C4"/>
    <w:pPr>
      <w:numPr>
        <w:numId w:val="11"/>
      </w:numPr>
      <w:jc w:val="left"/>
    </w:pPr>
    <w:rPr>
      <w:b/>
    </w:rPr>
  </w:style>
  <w:style w:type="character" w:styleId="Enfasigrassetto">
    <w:name w:val="Strong"/>
    <w:uiPriority w:val="99"/>
    <w:semiHidden/>
    <w:qFormat/>
    <w:rsid w:val="006544C4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6544C4"/>
    <w:rPr>
      <w:sz w:val="22"/>
    </w:rPr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6544C4"/>
    <w:rPr>
      <w:rFonts w:eastAsiaTheme="minorEastAsia"/>
    </w:rPr>
  </w:style>
  <w:style w:type="paragraph" w:customStyle="1" w:styleId="OpiPara">
    <w:name w:val="Opi_Para"/>
    <w:basedOn w:val="Normale"/>
    <w:uiPriority w:val="46"/>
    <w:semiHidden/>
    <w:qFormat/>
    <w:rsid w:val="004047FE"/>
    <w:pPr>
      <w:ind w:firstLine="284"/>
    </w:pPr>
  </w:style>
  <w:style w:type="paragraph" w:customStyle="1" w:styleId="ECHRParaQuote">
    <w:name w:val="ECHR_Para_Quote"/>
    <w:aliases w:val="Ju_Quot"/>
    <w:basedOn w:val="Normale"/>
    <w:uiPriority w:val="14"/>
    <w:qFormat/>
    <w:rsid w:val="006544C4"/>
    <w:pPr>
      <w:spacing w:before="120" w:after="120"/>
      <w:ind w:left="425" w:firstLine="142"/>
    </w:pPr>
    <w:rPr>
      <w:sz w:val="20"/>
    </w:rPr>
  </w:style>
  <w:style w:type="paragraph" w:customStyle="1" w:styleId="JuParaSub">
    <w:name w:val="Ju_Para_Sub"/>
    <w:basedOn w:val="Normale"/>
    <w:uiPriority w:val="13"/>
    <w:qFormat/>
    <w:rsid w:val="004047FE"/>
    <w:pPr>
      <w:ind w:left="284" w:firstLine="284"/>
    </w:pPr>
  </w:style>
  <w:style w:type="paragraph" w:customStyle="1" w:styleId="OpiParaSub">
    <w:name w:val="Opi_Para_Sub"/>
    <w:basedOn w:val="JuParaSub"/>
    <w:uiPriority w:val="47"/>
    <w:semiHidden/>
    <w:qFormat/>
    <w:rsid w:val="006544C4"/>
  </w:style>
  <w:style w:type="paragraph" w:customStyle="1" w:styleId="OpiQuot">
    <w:name w:val="Opi_Quot"/>
    <w:basedOn w:val="ECHRParaQuote"/>
    <w:uiPriority w:val="48"/>
    <w:semiHidden/>
    <w:qFormat/>
    <w:rsid w:val="006544C4"/>
  </w:style>
  <w:style w:type="paragraph" w:customStyle="1" w:styleId="OpiQuotSub">
    <w:name w:val="Opi_Quot_Sub"/>
    <w:basedOn w:val="JuQuotSub"/>
    <w:uiPriority w:val="49"/>
    <w:semiHidden/>
    <w:qFormat/>
    <w:rsid w:val="006544C4"/>
  </w:style>
  <w:style w:type="paragraph" w:customStyle="1" w:styleId="ECHRTitleCentre3">
    <w:name w:val="ECHR_Title_Centre_3"/>
    <w:aliases w:val="Ju_H_Article"/>
    <w:basedOn w:val="Normale"/>
    <w:next w:val="ECHRParaQuote"/>
    <w:uiPriority w:val="27"/>
    <w:qFormat/>
    <w:rsid w:val="006544C4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ECHRTitleCentre1">
    <w:name w:val="ECHR_Title_Centre_1"/>
    <w:aliases w:val="Opi_H_Head"/>
    <w:basedOn w:val="Normale"/>
    <w:next w:val="OpiPara"/>
    <w:uiPriority w:val="39"/>
    <w:semiHidden/>
    <w:qFormat/>
    <w:rsid w:val="006544C4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JuQuotSub">
    <w:name w:val="Ju_Quot_Sub"/>
    <w:basedOn w:val="ECHRParaQuote"/>
    <w:uiPriority w:val="15"/>
    <w:qFormat/>
    <w:rsid w:val="006544C4"/>
    <w:pPr>
      <w:ind w:left="567"/>
    </w:pPr>
  </w:style>
  <w:style w:type="paragraph" w:customStyle="1" w:styleId="ECHRTitle1">
    <w:name w:val="ECHR_Title_1"/>
    <w:aliases w:val="Ju_H_Head"/>
    <w:basedOn w:val="Normale"/>
    <w:next w:val="Normale"/>
    <w:uiPriority w:val="18"/>
    <w:qFormat/>
    <w:rsid w:val="006544C4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customStyle="1" w:styleId="JuInitialled">
    <w:name w:val="Ju_Initialled"/>
    <w:basedOn w:val="Normale"/>
    <w:uiPriority w:val="31"/>
    <w:qFormat/>
    <w:rsid w:val="006544C4"/>
    <w:pPr>
      <w:tabs>
        <w:tab w:val="center" w:pos="6407"/>
      </w:tabs>
      <w:spacing w:before="720"/>
      <w:jc w:val="right"/>
    </w:pPr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6544C4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6544C4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OpiHA">
    <w:name w:val="Opi_H_A"/>
    <w:basedOn w:val="ECHRHeading1"/>
    <w:next w:val="OpiPara"/>
    <w:uiPriority w:val="41"/>
    <w:semiHidden/>
    <w:qFormat/>
    <w:rsid w:val="006544C4"/>
    <w:pPr>
      <w:tabs>
        <w:tab w:val="clear" w:pos="357"/>
      </w:tabs>
      <w:outlineLvl w:val="1"/>
    </w:pPr>
    <w:rPr>
      <w:b/>
    </w:rPr>
  </w:style>
  <w:style w:type="character" w:customStyle="1" w:styleId="JUNAMES">
    <w:name w:val="JU_NAMES"/>
    <w:uiPriority w:val="17"/>
    <w:qFormat/>
    <w:rsid w:val="006544C4"/>
    <w:rPr>
      <w:caps w:val="0"/>
      <w:smallCaps/>
    </w:rPr>
  </w:style>
  <w:style w:type="character" w:customStyle="1" w:styleId="JuITMark">
    <w:name w:val="Ju_ITMark"/>
    <w:basedOn w:val="Carpredefinitoparagrafo"/>
    <w:uiPriority w:val="38"/>
    <w:qFormat/>
    <w:rsid w:val="006544C4"/>
    <w:rPr>
      <w:vanish/>
      <w:color w:val="339966"/>
      <w:sz w:val="14"/>
    </w:rPr>
  </w:style>
  <w:style w:type="paragraph" w:customStyle="1" w:styleId="OpiTranslation">
    <w:name w:val="Opi_Translation"/>
    <w:basedOn w:val="Normale"/>
    <w:next w:val="OpiPara"/>
    <w:uiPriority w:val="40"/>
    <w:semiHidden/>
    <w:qFormat/>
    <w:rsid w:val="006544C4"/>
    <w:pPr>
      <w:jc w:val="center"/>
      <w:outlineLvl w:val="0"/>
    </w:pPr>
    <w:rPr>
      <w:i/>
    </w:rPr>
  </w:style>
  <w:style w:type="paragraph" w:customStyle="1" w:styleId="JuCourt">
    <w:name w:val="Ju_Court"/>
    <w:basedOn w:val="Normale"/>
    <w:next w:val="Normale"/>
    <w:uiPriority w:val="16"/>
    <w:qFormat/>
    <w:rsid w:val="006544C4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customStyle="1" w:styleId="ECHRHeading1">
    <w:name w:val="ECHR_Heading_1"/>
    <w:aliases w:val="Ju_H_I_Roman"/>
    <w:basedOn w:val="Titolo1"/>
    <w:next w:val="Normale"/>
    <w:uiPriority w:val="19"/>
    <w:qFormat/>
    <w:rsid w:val="006544C4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Titolo2"/>
    <w:next w:val="Normale"/>
    <w:uiPriority w:val="20"/>
    <w:qFormat/>
    <w:rsid w:val="006544C4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customStyle="1" w:styleId="ECHRHeading3">
    <w:name w:val="ECHR_Heading_3"/>
    <w:aliases w:val="Ju_H_1."/>
    <w:basedOn w:val="Titolo3"/>
    <w:next w:val="Normale"/>
    <w:uiPriority w:val="21"/>
    <w:qFormat/>
    <w:rsid w:val="006544C4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styleId="Intestazione">
    <w:name w:val="header"/>
    <w:basedOn w:val="Normale"/>
    <w:link w:val="IntestazioneCarattere"/>
    <w:uiPriority w:val="48"/>
    <w:semiHidden/>
    <w:rsid w:val="00941747"/>
    <w:pPr>
      <w:tabs>
        <w:tab w:val="center" w:pos="4536"/>
        <w:tab w:val="right" w:pos="9696"/>
      </w:tabs>
      <w:ind w:left="-680" w:right="-680"/>
    </w:pPr>
  </w:style>
  <w:style w:type="character" w:customStyle="1" w:styleId="IntestazioneCarattere">
    <w:name w:val="Intestazione Carattere"/>
    <w:basedOn w:val="Carpredefinitoparagrafo"/>
    <w:link w:val="Intestazione"/>
    <w:uiPriority w:val="48"/>
    <w:semiHidden/>
    <w:rsid w:val="008D4752"/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A671F8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4">
    <w:name w:val="ECHR_Heading_4"/>
    <w:aliases w:val="Ju_H_a"/>
    <w:basedOn w:val="Titolo4"/>
    <w:next w:val="Normale"/>
    <w:uiPriority w:val="22"/>
    <w:qFormat/>
    <w:rsid w:val="006544C4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paragraph" w:customStyle="1" w:styleId="ECHRHeading5">
    <w:name w:val="ECHR_Heading_5"/>
    <w:aliases w:val="Ju_H_i"/>
    <w:basedOn w:val="Titolo5"/>
    <w:next w:val="Normale"/>
    <w:uiPriority w:val="23"/>
    <w:qFormat/>
    <w:rsid w:val="006544C4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A671F8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customStyle="1" w:styleId="ECHRHeading6">
    <w:name w:val="ECHR_Heading_6"/>
    <w:aliases w:val="Ju_H_alpha"/>
    <w:basedOn w:val="Titolo6"/>
    <w:next w:val="Normale"/>
    <w:uiPriority w:val="24"/>
    <w:qFormat/>
    <w:rsid w:val="006544C4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color w:val="auto"/>
      <w:sz w:val="20"/>
    </w:rPr>
  </w:style>
  <w:style w:type="paragraph" w:customStyle="1" w:styleId="ECHRHeading7">
    <w:name w:val="ECHR_Heading_7"/>
    <w:aliases w:val="Ju_H_–"/>
    <w:basedOn w:val="Titolo7"/>
    <w:next w:val="Normale"/>
    <w:uiPriority w:val="25"/>
    <w:qFormat/>
    <w:rsid w:val="006544C4"/>
    <w:pPr>
      <w:keepNext/>
      <w:keepLines/>
      <w:spacing w:before="240" w:after="120"/>
      <w:ind w:left="1236"/>
    </w:pPr>
    <w:rPr>
      <w:sz w:val="20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A671F8"/>
    <w:rPr>
      <w:rFonts w:asciiTheme="majorHAnsi" w:eastAsiaTheme="majorEastAsia" w:hAnsiTheme="majorHAnsi" w:cstheme="majorBidi"/>
      <w:b/>
      <w:bCs/>
      <w:color w:val="5F5F5F"/>
    </w:rPr>
  </w:style>
  <w:style w:type="paragraph" w:customStyle="1" w:styleId="JuParaLast">
    <w:name w:val="Ju_Para_Last"/>
    <w:basedOn w:val="Normale"/>
    <w:next w:val="Normale"/>
    <w:uiPriority w:val="30"/>
    <w:qFormat/>
    <w:rsid w:val="006544C4"/>
    <w:pPr>
      <w:keepNext/>
      <w:keepLines/>
      <w:spacing w:before="240"/>
      <w:ind w:firstLine="284"/>
    </w:pPr>
  </w:style>
  <w:style w:type="paragraph" w:customStyle="1" w:styleId="DecList">
    <w:name w:val="Dec_List"/>
    <w:basedOn w:val="Normale"/>
    <w:uiPriority w:val="9"/>
    <w:qFormat/>
    <w:rsid w:val="006544C4"/>
    <w:pPr>
      <w:spacing w:before="240"/>
      <w:ind w:left="284"/>
    </w:p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A671F8"/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customStyle="1" w:styleId="ECHRDecisionBody">
    <w:name w:val="ECHR_Decision_Body"/>
    <w:aliases w:val="Ju_Judges"/>
    <w:basedOn w:val="Normale"/>
    <w:uiPriority w:val="11"/>
    <w:qFormat/>
    <w:rsid w:val="006544C4"/>
    <w:pPr>
      <w:tabs>
        <w:tab w:val="left" w:pos="567"/>
        <w:tab w:val="left" w:pos="1134"/>
      </w:tabs>
      <w:jc w:val="left"/>
    </w:p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6544C4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JuList">
    <w:name w:val="Ju_List"/>
    <w:basedOn w:val="Normale"/>
    <w:uiPriority w:val="28"/>
    <w:qFormat/>
    <w:rsid w:val="006544C4"/>
    <w:pPr>
      <w:ind w:left="340" w:hanging="340"/>
    </w:pPr>
  </w:style>
  <w:style w:type="paragraph" w:customStyle="1" w:styleId="JuLista">
    <w:name w:val="Ju_List_a"/>
    <w:basedOn w:val="JuList"/>
    <w:uiPriority w:val="28"/>
    <w:qFormat/>
    <w:rsid w:val="006544C4"/>
    <w:pPr>
      <w:ind w:left="346" w:firstLine="0"/>
    </w:pPr>
  </w:style>
  <w:style w:type="character" w:styleId="Enfasidelicata">
    <w:name w:val="Subtle Emphasis"/>
    <w:uiPriority w:val="99"/>
    <w:semiHidden/>
    <w:qFormat/>
    <w:rsid w:val="006544C4"/>
    <w:rPr>
      <w:i/>
      <w:iCs/>
    </w:rPr>
  </w:style>
  <w:style w:type="paragraph" w:customStyle="1" w:styleId="JuListi">
    <w:name w:val="Ju_List_i"/>
    <w:basedOn w:val="Normale"/>
    <w:next w:val="JuLista"/>
    <w:uiPriority w:val="28"/>
    <w:qFormat/>
    <w:rsid w:val="006544C4"/>
    <w:pPr>
      <w:ind w:left="794"/>
    </w:p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OpiH1">
    <w:name w:val="Opi_H_1"/>
    <w:basedOn w:val="ECHRHeading2"/>
    <w:uiPriority w:val="42"/>
    <w:semiHidden/>
    <w:qFormat/>
    <w:rsid w:val="006544C4"/>
    <w:pPr>
      <w:ind w:left="635" w:hanging="357"/>
      <w:outlineLvl w:val="2"/>
    </w:pPr>
  </w:style>
  <w:style w:type="paragraph" w:customStyle="1" w:styleId="OpiHa0">
    <w:name w:val="Opi_H_a"/>
    <w:basedOn w:val="ECHRHeading3"/>
    <w:uiPriority w:val="43"/>
    <w:semiHidden/>
    <w:qFormat/>
    <w:rsid w:val="006544C4"/>
    <w:pPr>
      <w:ind w:left="833" w:hanging="357"/>
      <w:outlineLvl w:val="3"/>
    </w:pPr>
    <w:rPr>
      <w:b/>
      <w:i w:val="0"/>
      <w:sz w:val="20"/>
    </w:rPr>
  </w:style>
  <w:style w:type="paragraph" w:customStyle="1" w:styleId="ECHRTitleCentre2">
    <w:name w:val="ECHR_Title_Centre_2"/>
    <w:aliases w:val="Dec_H_Case"/>
    <w:basedOn w:val="Normale"/>
    <w:next w:val="Normale"/>
    <w:uiPriority w:val="8"/>
    <w:qFormat/>
    <w:rsid w:val="006544C4"/>
    <w:pPr>
      <w:spacing w:after="240"/>
      <w:jc w:val="center"/>
      <w:outlineLvl w:val="0"/>
    </w:pPr>
    <w:rPr>
      <w:rFonts w:asciiTheme="majorHAnsi" w:hAnsiTheme="majorHAnsi"/>
    </w:rPr>
  </w:style>
  <w:style w:type="character" w:styleId="Enfasicorsivo">
    <w:name w:val="Emphasis"/>
    <w:uiPriority w:val="99"/>
    <w:semiHidden/>
    <w:qFormat/>
    <w:rsid w:val="006544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49"/>
    <w:semiHidden/>
    <w:rsid w:val="00941747"/>
    <w:pPr>
      <w:tabs>
        <w:tab w:val="center" w:pos="4536"/>
        <w:tab w:val="right" w:pos="9696"/>
      </w:tabs>
      <w:ind w:left="-680" w:right="-680"/>
    </w:pPr>
  </w:style>
  <w:style w:type="character" w:customStyle="1" w:styleId="PidipaginaCarattere">
    <w:name w:val="Piè di pagina Carattere"/>
    <w:basedOn w:val="Carpredefinitoparagrafo"/>
    <w:link w:val="Pidipagina"/>
    <w:uiPriority w:val="49"/>
    <w:semiHidden/>
    <w:rsid w:val="008D4752"/>
  </w:style>
  <w:style w:type="character" w:styleId="Rimandonotaapidipagina">
    <w:name w:val="footnote reference"/>
    <w:basedOn w:val="Carpredefinitoparagrafo"/>
    <w:uiPriority w:val="99"/>
    <w:semiHidden/>
    <w:rsid w:val="00941747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94174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71F8"/>
    <w:rPr>
      <w:rFonts w:eastAsiaTheme="minorEastAsia"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A671F8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6544C4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6544C4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6544C4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Collegamentoipertestuale">
    <w:name w:val="Hyperlink"/>
    <w:basedOn w:val="Carpredefinitoparagrafo"/>
    <w:uiPriority w:val="99"/>
    <w:semiHidden/>
    <w:rsid w:val="00941747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6544C4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6544C4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6544C4"/>
    <w:rPr>
      <w:rFonts w:eastAsiaTheme="minorEastAsia"/>
      <w:b/>
      <w:bCs/>
      <w:i/>
      <w:iCs/>
      <w:lang w:bidi="en-US"/>
    </w:rPr>
  </w:style>
  <w:style w:type="character" w:styleId="Riferimentointenso">
    <w:name w:val="Intense Reference"/>
    <w:uiPriority w:val="99"/>
    <w:semiHidden/>
    <w:qFormat/>
    <w:rsid w:val="006544C4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semiHidden/>
    <w:qFormat/>
    <w:rsid w:val="006544C4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6544C4"/>
    <w:pPr>
      <w:spacing w:before="200"/>
      <w:ind w:left="360" w:right="360"/>
    </w:pPr>
    <w:rPr>
      <w:i/>
      <w:iCs/>
      <w:sz w:val="22"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6544C4"/>
    <w:rPr>
      <w:rFonts w:eastAsiaTheme="minorEastAsia"/>
      <w:i/>
      <w:iCs/>
      <w:lang w:bidi="en-US"/>
    </w:rPr>
  </w:style>
  <w:style w:type="character" w:styleId="Riferimentodelicato">
    <w:name w:val="Subtle Reference"/>
    <w:uiPriority w:val="99"/>
    <w:semiHidden/>
    <w:qFormat/>
    <w:rsid w:val="006544C4"/>
    <w:rPr>
      <w:smallCaps/>
    </w:rPr>
  </w:style>
  <w:style w:type="table" w:styleId="Grigliatabella">
    <w:name w:val="Table Grid"/>
    <w:basedOn w:val="Tabellanormale"/>
    <w:uiPriority w:val="59"/>
    <w:semiHidden/>
    <w:rsid w:val="00941747"/>
    <w:rPr>
      <w:rFonts w:eastAsiaTheme="minorEastAsia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EA185E"/>
    <w:pPr>
      <w:spacing w:before="120" w:after="60"/>
      <w:ind w:left="340" w:right="340" w:hanging="340"/>
    </w:pPr>
    <w:rPr>
      <w:color w:val="0D0D0D" w:themeColor="text1" w:themeTint="F2"/>
    </w:rPr>
  </w:style>
  <w:style w:type="paragraph" w:styleId="Sommario2">
    <w:name w:val="toc 2"/>
    <w:basedOn w:val="Normale"/>
    <w:next w:val="Normale"/>
    <w:autoRedefine/>
    <w:uiPriority w:val="99"/>
    <w:semiHidden/>
    <w:rsid w:val="00EA185E"/>
    <w:pPr>
      <w:spacing w:after="60"/>
      <w:ind w:left="680" w:right="340" w:hanging="340"/>
    </w:pPr>
  </w:style>
  <w:style w:type="paragraph" w:styleId="Sommario3">
    <w:name w:val="toc 3"/>
    <w:basedOn w:val="Normale"/>
    <w:next w:val="Normale"/>
    <w:autoRedefine/>
    <w:uiPriority w:val="99"/>
    <w:semiHidden/>
    <w:rsid w:val="00EA185E"/>
    <w:pPr>
      <w:spacing w:after="60"/>
      <w:ind w:left="1020" w:right="340" w:hanging="340"/>
    </w:pPr>
  </w:style>
  <w:style w:type="paragraph" w:styleId="Sommario4">
    <w:name w:val="toc 4"/>
    <w:basedOn w:val="Normale"/>
    <w:next w:val="Normale"/>
    <w:autoRedefine/>
    <w:uiPriority w:val="99"/>
    <w:semiHidden/>
    <w:rsid w:val="00EA185E"/>
    <w:pPr>
      <w:tabs>
        <w:tab w:val="right" w:leader="dot" w:pos="9017"/>
      </w:tabs>
      <w:spacing w:after="60"/>
      <w:ind w:left="1361" w:right="340" w:hanging="340"/>
    </w:pPr>
  </w:style>
  <w:style w:type="paragraph" w:styleId="Sommario5">
    <w:name w:val="toc 5"/>
    <w:basedOn w:val="Normale"/>
    <w:next w:val="Normale"/>
    <w:autoRedefine/>
    <w:uiPriority w:val="99"/>
    <w:semiHidden/>
    <w:rsid w:val="00B46543"/>
    <w:pPr>
      <w:spacing w:after="60"/>
      <w:ind w:left="1701" w:right="340" w:hanging="340"/>
    </w:pPr>
  </w:style>
  <w:style w:type="paragraph" w:styleId="Titolosommario">
    <w:name w:val="TOC Heading"/>
    <w:basedOn w:val="Titolo1"/>
    <w:next w:val="Normale"/>
    <w:uiPriority w:val="99"/>
    <w:semiHidden/>
    <w:qFormat/>
    <w:rsid w:val="006544C4"/>
    <w:pPr>
      <w:outlineLvl w:val="9"/>
    </w:pPr>
    <w:rPr>
      <w:color w:val="474747" w:themeColor="accent3" w:themeShade="BF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C333A0"/>
    <w:pPr>
      <w:spacing w:before="120"/>
    </w:pPr>
    <w:rPr>
      <w:rFonts w:asciiTheme="majorHAnsi" w:eastAsiaTheme="majorEastAsia" w:hAnsiTheme="majorHAnsi" w:cstheme="majorBidi"/>
      <w:b/>
      <w:bCs/>
      <w:color w:val="474747" w:themeColor="accent3" w:themeShade="BF"/>
      <w:szCs w:val="24"/>
    </w:rPr>
  </w:style>
  <w:style w:type="paragraph" w:customStyle="1" w:styleId="OpiHi">
    <w:name w:val="Opi_H_i"/>
    <w:basedOn w:val="ECHRHeading4"/>
    <w:uiPriority w:val="44"/>
    <w:semiHidden/>
    <w:qFormat/>
    <w:rsid w:val="006544C4"/>
    <w:pPr>
      <w:ind w:left="1037" w:hanging="357"/>
      <w:outlineLvl w:val="4"/>
    </w:pPr>
    <w:rPr>
      <w:b w:val="0"/>
      <w:i/>
    </w:rPr>
  </w:style>
  <w:style w:type="paragraph" w:customStyle="1" w:styleId="DummyStyle">
    <w:name w:val="Dummy_Style"/>
    <w:basedOn w:val="Normale"/>
    <w:semiHidden/>
    <w:qFormat/>
    <w:rsid w:val="006544C4"/>
    <w:rPr>
      <w:color w:val="00B050"/>
      <w:lang w:bidi="en-US"/>
    </w:rPr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6544C4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paragraph" w:customStyle="1" w:styleId="ECHRPara">
    <w:name w:val="ECHR_Para"/>
    <w:aliases w:val="Ju_Para,Para"/>
    <w:basedOn w:val="Normale"/>
    <w:link w:val="JuParaCar"/>
    <w:uiPriority w:val="12"/>
    <w:qFormat/>
    <w:rsid w:val="004047FE"/>
    <w:pPr>
      <w:ind w:firstLine="284"/>
    </w:p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6544C4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SimpleBox">
    <w:name w:val="ECHR_Table_Simple_Box"/>
    <w:basedOn w:val="Tabellanormale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numbering" w:styleId="111111">
    <w:name w:val="Outline List 2"/>
    <w:basedOn w:val="Nessunelenco"/>
    <w:uiPriority w:val="99"/>
    <w:semiHidden/>
    <w:unhideWhenUsed/>
    <w:rsid w:val="006544C4"/>
    <w:pPr>
      <w:numPr>
        <w:numId w:val="12"/>
      </w:numPr>
    </w:pPr>
  </w:style>
  <w:style w:type="table" w:customStyle="1" w:styleId="ECHRTableForInternalUse">
    <w:name w:val="ECHR_Table_For_Internal_Use"/>
    <w:basedOn w:val="Tabellanormale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520BAA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ai">
    <w:name w:val="Outline List 1"/>
    <w:basedOn w:val="Nessunelenco"/>
    <w:uiPriority w:val="99"/>
    <w:semiHidden/>
    <w:unhideWhenUsed/>
    <w:rsid w:val="006544C4"/>
    <w:pPr>
      <w:numPr>
        <w:numId w:val="13"/>
      </w:numPr>
    </w:pPr>
  </w:style>
  <w:style w:type="numbering" w:styleId="ArticoloSezione">
    <w:name w:val="Outline List 3"/>
    <w:basedOn w:val="Nessunelenco"/>
    <w:uiPriority w:val="99"/>
    <w:semiHidden/>
    <w:unhideWhenUsed/>
    <w:rsid w:val="006544C4"/>
    <w:pPr>
      <w:numPr>
        <w:numId w:val="14"/>
      </w:numPr>
    </w:pPr>
  </w:style>
  <w:style w:type="table" w:customStyle="1" w:styleId="ECHRHeaderTable">
    <w:name w:val="ECHR_Header_Table"/>
    <w:basedOn w:val="Tabellanormale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paragraph" w:styleId="Bibliografia">
    <w:name w:val="Bibliography"/>
    <w:basedOn w:val="Normale"/>
    <w:next w:val="Normale"/>
    <w:uiPriority w:val="99"/>
    <w:semiHidden/>
    <w:rsid w:val="006544C4"/>
  </w:style>
  <w:style w:type="paragraph" w:styleId="Testodelblocco">
    <w:name w:val="Block Text"/>
    <w:basedOn w:val="Normale"/>
    <w:uiPriority w:val="99"/>
    <w:semiHidden/>
    <w:rsid w:val="006544C4"/>
    <w:pPr>
      <w:pBdr>
        <w:top w:val="single" w:sz="2" w:space="10" w:color="0072BC" w:themeColor="accent1" w:shadow="1"/>
        <w:left w:val="single" w:sz="2" w:space="10" w:color="0072BC" w:themeColor="accent1" w:shadow="1"/>
        <w:bottom w:val="single" w:sz="2" w:space="10" w:color="0072BC" w:themeColor="accent1" w:shadow="1"/>
        <w:right w:val="single" w:sz="2" w:space="10" w:color="0072BC" w:themeColor="accent1" w:shadow="1"/>
      </w:pBdr>
      <w:ind w:left="1152" w:right="1152"/>
    </w:pPr>
    <w:rPr>
      <w:i/>
      <w:iCs/>
      <w:color w:val="0072BC" w:themeColor="accent1"/>
    </w:rPr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Corpotesto">
    <w:name w:val="Body Text"/>
    <w:basedOn w:val="Normale"/>
    <w:link w:val="CorpotestoCarattere"/>
    <w:uiPriority w:val="99"/>
    <w:semiHidden/>
    <w:rsid w:val="006544C4"/>
    <w:pPr>
      <w:spacing w:after="120"/>
    </w:pPr>
  </w:style>
  <w:style w:type="table" w:customStyle="1" w:styleId="ECHRHeaderTableReduced">
    <w:name w:val="ECHR_Header_Table_Reduced"/>
    <w:basedOn w:val="Tabellanormale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basedOn w:val="Carpredefinitoparagrafo"/>
    <w:uiPriority w:val="99"/>
    <w:semiHidden/>
    <w:rsid w:val="006544C4"/>
    <w:rPr>
      <w:rFonts w:ascii="Times New Roman" w:hAnsi="Times New Roman" w:cs="Times New Roman"/>
      <w:sz w:val="18"/>
    </w:rPr>
  </w:style>
  <w:style w:type="character" w:styleId="Rimandocommento">
    <w:name w:val="annotation reference"/>
    <w:basedOn w:val="Carpredefinitoparagrafo"/>
    <w:uiPriority w:val="99"/>
    <w:semiHidden/>
    <w:rsid w:val="006544C4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6544C4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6544C4"/>
    <w:rPr>
      <w:rFonts w:eastAsiaTheme="minorEastAsia"/>
      <w:sz w:val="20"/>
    </w:rPr>
  </w:style>
  <w:style w:type="paragraph" w:customStyle="1" w:styleId="JuSigned">
    <w:name w:val="Ju_Signed"/>
    <w:basedOn w:val="Normale"/>
    <w:next w:val="JuParaLast"/>
    <w:uiPriority w:val="32"/>
    <w:qFormat/>
    <w:rsid w:val="006544C4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Title">
    <w:name w:val="Ju_Title"/>
    <w:basedOn w:val="Normale"/>
    <w:next w:val="Normale"/>
    <w:uiPriority w:val="3"/>
    <w:qFormat/>
    <w:rsid w:val="006544C4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DecHTitle">
    <w:name w:val="Dec_H_Title"/>
    <w:basedOn w:val="ECHRTitleCentre1"/>
    <w:uiPriority w:val="7"/>
    <w:qFormat/>
    <w:rsid w:val="006544C4"/>
  </w:style>
  <w:style w:type="paragraph" w:styleId="Puntoelenco2">
    <w:name w:val="List Bullet 2"/>
    <w:basedOn w:val="Normale"/>
    <w:uiPriority w:val="99"/>
    <w:semiHidden/>
    <w:rsid w:val="006544C4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rsid w:val="006544C4"/>
    <w:pPr>
      <w:numPr>
        <w:numId w:val="9"/>
      </w:numPr>
      <w:contextualSpacing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544C4"/>
    <w:rPr>
      <w:rFonts w:eastAsiaTheme="minorEastAsia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6544C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544C4"/>
    <w:rPr>
      <w:rFonts w:eastAsiaTheme="minorEastAsia"/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6544C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6544C4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6544C4"/>
    <w:rPr>
      <w:rFonts w:eastAsiaTheme="minorEastAsia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6544C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544C4"/>
    <w:rPr>
      <w:rFonts w:eastAsiaTheme="minorEastAsia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6544C4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6544C4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6544C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Didascalia">
    <w:name w:val="caption"/>
    <w:basedOn w:val="Normale"/>
    <w:next w:val="Normale"/>
    <w:uiPriority w:val="99"/>
    <w:semiHidden/>
    <w:qFormat/>
    <w:rsid w:val="006544C4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6544C4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6544C4"/>
    <w:rPr>
      <w:rFonts w:eastAsiaTheme="minorEastAsia"/>
      <w:sz w:val="24"/>
    </w:rPr>
  </w:style>
  <w:style w:type="table" w:styleId="Grigliaacolori">
    <w:name w:val="Colorful Grid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6544C4"/>
    <w:rPr>
      <w:b/>
      <w:bCs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544C4"/>
    <w:rPr>
      <w:rFonts w:eastAsiaTheme="minorEastAsia"/>
      <w:b/>
      <w:bCs/>
      <w:sz w:val="20"/>
      <w:szCs w:val="20"/>
    </w:rPr>
  </w:style>
  <w:style w:type="table" w:styleId="Elencoscuro">
    <w:name w:val="Dark List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6544C4"/>
  </w:style>
  <w:style w:type="character" w:customStyle="1" w:styleId="DataCarattere">
    <w:name w:val="Data Carattere"/>
    <w:basedOn w:val="Carpredefinitoparagrafo"/>
    <w:link w:val="Data"/>
    <w:uiPriority w:val="99"/>
    <w:semiHidden/>
    <w:rsid w:val="006544C4"/>
    <w:rPr>
      <w:rFonts w:eastAsiaTheme="minorEastAsia"/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6544C4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6544C4"/>
    <w:rPr>
      <w:rFonts w:ascii="Tahoma" w:eastAsiaTheme="minorEastAsi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6544C4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6544C4"/>
    <w:rPr>
      <w:rFonts w:eastAsiaTheme="minorEastAsia"/>
      <w:sz w:val="24"/>
    </w:rPr>
  </w:style>
  <w:style w:type="character" w:styleId="Rimandonotadichiusura">
    <w:name w:val="endnote reference"/>
    <w:basedOn w:val="Carpredefinitoparagrafo"/>
    <w:uiPriority w:val="99"/>
    <w:semiHidden/>
    <w:rsid w:val="006544C4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6544C4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544C4"/>
    <w:rPr>
      <w:rFonts w:eastAsiaTheme="minorEastAsia"/>
      <w:sz w:val="20"/>
      <w:szCs w:val="20"/>
    </w:rPr>
  </w:style>
  <w:style w:type="paragraph" w:styleId="Indirizzodestinatario">
    <w:name w:val="envelope address"/>
    <w:basedOn w:val="Normale"/>
    <w:uiPriority w:val="99"/>
    <w:semiHidden/>
    <w:rsid w:val="006544C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6544C4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6544C4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6544C4"/>
  </w:style>
  <w:style w:type="paragraph" w:styleId="IndirizzoHTML">
    <w:name w:val="HTML Address"/>
    <w:basedOn w:val="Normale"/>
    <w:link w:val="IndirizzoHTMLCarattere"/>
    <w:uiPriority w:val="99"/>
    <w:semiHidden/>
    <w:rsid w:val="006544C4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6544C4"/>
    <w:rPr>
      <w:rFonts w:eastAsiaTheme="minorEastAsia"/>
      <w:i/>
      <w:iCs/>
      <w:sz w:val="24"/>
    </w:rPr>
  </w:style>
  <w:style w:type="character" w:styleId="CitazioneHTML">
    <w:name w:val="HTML Cite"/>
    <w:basedOn w:val="Carpredefinitoparagrafo"/>
    <w:uiPriority w:val="99"/>
    <w:semiHidden/>
    <w:rsid w:val="006544C4"/>
    <w:rPr>
      <w:i/>
      <w:iCs/>
    </w:rPr>
  </w:style>
  <w:style w:type="character" w:styleId="CodiceHTML">
    <w:name w:val="HTML Code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6544C4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character" w:styleId="EsempioHTML">
    <w:name w:val="HTML Sample"/>
    <w:basedOn w:val="Carpredefinitoparagrafo"/>
    <w:uiPriority w:val="99"/>
    <w:semiHidden/>
    <w:rsid w:val="006544C4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6544C4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6544C4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6544C4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6544C4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6544C4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6544C4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6544C4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6544C4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6544C4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6544C4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6544C4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6544C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6544C4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6544C4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6544C4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6544C4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6544C4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6544C4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6544C4"/>
  </w:style>
  <w:style w:type="paragraph" w:styleId="Elenco">
    <w:name w:val="List"/>
    <w:basedOn w:val="Normale"/>
    <w:uiPriority w:val="99"/>
    <w:semiHidden/>
    <w:rsid w:val="006544C4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6544C4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6544C4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6544C4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6544C4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6544C4"/>
    <w:pPr>
      <w:numPr>
        <w:numId w:val="15"/>
      </w:numPr>
      <w:contextualSpacing/>
    </w:pPr>
  </w:style>
  <w:style w:type="paragraph" w:styleId="Puntoelenco4">
    <w:name w:val="List Bullet 4"/>
    <w:basedOn w:val="Normale"/>
    <w:uiPriority w:val="99"/>
    <w:semiHidden/>
    <w:rsid w:val="006544C4"/>
    <w:pPr>
      <w:numPr>
        <w:numId w:val="16"/>
      </w:numPr>
      <w:contextualSpacing/>
    </w:pPr>
  </w:style>
  <w:style w:type="paragraph" w:styleId="Puntoelenco5">
    <w:name w:val="List Bullet 5"/>
    <w:basedOn w:val="Normale"/>
    <w:uiPriority w:val="99"/>
    <w:semiHidden/>
    <w:rsid w:val="006544C4"/>
    <w:pPr>
      <w:numPr>
        <w:numId w:val="17"/>
      </w:numPr>
      <w:contextualSpacing/>
    </w:pPr>
  </w:style>
  <w:style w:type="paragraph" w:styleId="Elencocontinua">
    <w:name w:val="List Continue"/>
    <w:basedOn w:val="Normale"/>
    <w:uiPriority w:val="99"/>
    <w:semiHidden/>
    <w:rsid w:val="006544C4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6544C4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6544C4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6544C4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6544C4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9"/>
    <w:semiHidden/>
    <w:rsid w:val="006544C4"/>
    <w:pPr>
      <w:numPr>
        <w:numId w:val="18"/>
      </w:numPr>
      <w:contextualSpacing/>
    </w:pPr>
  </w:style>
  <w:style w:type="paragraph" w:styleId="Numeroelenco2">
    <w:name w:val="List Number 2"/>
    <w:basedOn w:val="Normale"/>
    <w:uiPriority w:val="99"/>
    <w:semiHidden/>
    <w:rsid w:val="006544C4"/>
    <w:pPr>
      <w:numPr>
        <w:numId w:val="19"/>
      </w:numPr>
      <w:contextualSpacing/>
    </w:pPr>
  </w:style>
  <w:style w:type="paragraph" w:styleId="Numeroelenco3">
    <w:name w:val="List Number 3"/>
    <w:basedOn w:val="Normale"/>
    <w:uiPriority w:val="99"/>
    <w:semiHidden/>
    <w:rsid w:val="006544C4"/>
    <w:pPr>
      <w:numPr>
        <w:numId w:val="20"/>
      </w:numPr>
      <w:contextualSpacing/>
    </w:pPr>
  </w:style>
  <w:style w:type="paragraph" w:styleId="Numeroelenco4">
    <w:name w:val="List Number 4"/>
    <w:basedOn w:val="Normale"/>
    <w:uiPriority w:val="99"/>
    <w:semiHidden/>
    <w:rsid w:val="006544C4"/>
    <w:pPr>
      <w:numPr>
        <w:numId w:val="21"/>
      </w:numPr>
      <w:contextualSpacing/>
    </w:pPr>
  </w:style>
  <w:style w:type="paragraph" w:styleId="Numeroelenco5">
    <w:name w:val="List Number 5"/>
    <w:basedOn w:val="Normale"/>
    <w:uiPriority w:val="99"/>
    <w:semiHidden/>
    <w:rsid w:val="006544C4"/>
    <w:pPr>
      <w:numPr>
        <w:numId w:val="22"/>
      </w:numPr>
      <w:contextualSpacing/>
    </w:pPr>
  </w:style>
  <w:style w:type="paragraph" w:styleId="Testomacro">
    <w:name w:val="macro"/>
    <w:link w:val="TestomacroCarattere"/>
    <w:uiPriority w:val="99"/>
    <w:semiHidden/>
    <w:rsid w:val="006544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6544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6544C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rsid w:val="006544C4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6544C4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6544C4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6544C4"/>
    <w:rPr>
      <w:rFonts w:eastAsiaTheme="minorEastAsia"/>
      <w:sz w:val="24"/>
    </w:rPr>
  </w:style>
  <w:style w:type="character" w:styleId="Testosegnaposto">
    <w:name w:val="Placeholder Text"/>
    <w:basedOn w:val="Carpredefinitoparagrafo"/>
    <w:uiPriority w:val="99"/>
    <w:semiHidden/>
    <w:rsid w:val="006544C4"/>
    <w:rPr>
      <w:color w:val="808080"/>
    </w:rPr>
  </w:style>
  <w:style w:type="paragraph" w:styleId="Testonormale">
    <w:name w:val="Plain Text"/>
    <w:basedOn w:val="Normale"/>
    <w:link w:val="TestonormaleCarattere"/>
    <w:uiPriority w:val="99"/>
    <w:semiHidden/>
    <w:rsid w:val="006544C4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544C4"/>
    <w:rPr>
      <w:rFonts w:ascii="Consolas" w:eastAsiaTheme="minorEastAsia" w:hAnsi="Consolas" w:cs="Consolas"/>
      <w:sz w:val="21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6544C4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6544C4"/>
    <w:rPr>
      <w:rFonts w:eastAsiaTheme="minorEastAsia"/>
      <w:sz w:val="24"/>
    </w:rPr>
  </w:style>
  <w:style w:type="paragraph" w:styleId="Firma">
    <w:name w:val="Signature"/>
    <w:basedOn w:val="Normale"/>
    <w:link w:val="FirmaCarattere"/>
    <w:uiPriority w:val="99"/>
    <w:semiHidden/>
    <w:rsid w:val="006544C4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6544C4"/>
    <w:rPr>
      <w:rFonts w:eastAsiaTheme="minorEastAsia"/>
      <w:sz w:val="24"/>
    </w:rPr>
  </w:style>
  <w:style w:type="table" w:styleId="Tabellaeffetti3D1">
    <w:name w:val="Table 3D effects 1"/>
    <w:basedOn w:val="Tabellanormale"/>
    <w:uiPriority w:val="99"/>
    <w:semiHidden/>
    <w:unhideWhenUsed/>
    <w:rsid w:val="006544C4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6544C4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6544C4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6544C4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6544C4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6544C4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6544C4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6544C4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6544C4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6544C4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6544C4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6544C4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6544C4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6544C4"/>
  </w:style>
  <w:style w:type="table" w:styleId="Tabellaprofessionale">
    <w:name w:val="Table Professional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6544C4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6544C4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6544C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6544C4"/>
    <w:pPr>
      <w:spacing w:after="100"/>
      <w:ind w:left="1200"/>
    </w:pPr>
  </w:style>
  <w:style w:type="paragraph" w:styleId="Sommario7">
    <w:name w:val="toc 7"/>
    <w:basedOn w:val="Normale"/>
    <w:next w:val="Normale"/>
    <w:autoRedefine/>
    <w:uiPriority w:val="99"/>
    <w:semiHidden/>
    <w:rsid w:val="006544C4"/>
    <w:pPr>
      <w:spacing w:after="100"/>
      <w:ind w:left="1440"/>
    </w:pPr>
  </w:style>
  <w:style w:type="paragraph" w:styleId="Sommario8">
    <w:name w:val="toc 8"/>
    <w:basedOn w:val="Normale"/>
    <w:next w:val="Normale"/>
    <w:autoRedefine/>
    <w:uiPriority w:val="99"/>
    <w:semiHidden/>
    <w:rsid w:val="006544C4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6544C4"/>
    <w:pPr>
      <w:spacing w:after="100"/>
      <w:ind w:left="1920"/>
    </w:pPr>
  </w:style>
  <w:style w:type="character" w:customStyle="1" w:styleId="sb8d990e2">
    <w:name w:val="sb8d990e2"/>
    <w:basedOn w:val="Carpredefinitoparagrafo"/>
    <w:rsid w:val="00934A97"/>
  </w:style>
  <w:style w:type="character" w:customStyle="1" w:styleId="JuParaCar">
    <w:name w:val="Ju_Para Car"/>
    <w:link w:val="ECHRPara"/>
    <w:uiPriority w:val="12"/>
    <w:rsid w:val="00FC0134"/>
    <w:rPr>
      <w:rFonts w:eastAsia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hudoc.echr.coe.int/eng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hudoc.echr.coe.int/eng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hudoc.echr.coe.int/en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hudoc.echr.coe.int/eng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hudoc.echr.coe.int/eng" TargetMode="Externa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hudoc.echr.coe.int/eng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F8219-27F6-489B-861B-7E9F771ED5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E36382D-8D0F-45C2-A9CE-A0CA12B0BB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B5061C1-FBDA-4ACA-A919-8B034A5A4A3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5A6CAD-F22A-40EA-9697-8727C68B7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1134</Words>
  <Characters>6468</Characters>
  <Application>Microsoft Office Word</Application>
  <DocSecurity>0</DocSecurity>
  <Lines>53</Lines>
  <Paragraphs>15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ECHR</vt:lpstr>
    </vt:vector>
  </TitlesOfParts>
  <Manager/>
  <Company/>
  <LinksUpToDate>false</LinksUpToDate>
  <CharactersWithSpaces>7587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2015-12-10T14:42:00Z</dcterms:created>
  <dcterms:modified xsi:type="dcterms:W3CDTF">2015-12-10T14:42:00Z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tLanguage">
    <vt:i4>1036</vt:i4>
  </property>
  <property fmtid="{D5CDD505-2E9C-101B-9397-08002B2CF9AE}" pid="3" name="RegisteredNo">
    <vt:lpwstr>44291/15</vt:lpwstr>
  </property>
  <property fmtid="{D5CDD505-2E9C-101B-9397-08002B2CF9AE}" pid="4" name="CASEID">
    <vt:lpwstr>1154649</vt:lpwstr>
  </property>
  <property fmtid="{D5CDD505-2E9C-101B-9397-08002B2CF9AE}" pid="5" name="OrigTemp">
    <vt:lpwstr>French\Documents\DF01 Decisions et Rapports\Reports automation IT ONLY\New Décision.dotx</vt:lpwstr>
  </property>
  <property fmtid="{D5CDD505-2E9C-101B-9397-08002B2CF9AE}" pid="6" name="ContentTypeId">
    <vt:lpwstr>0x010100558EB02BDB9E204AB350EDD385B68E10</vt:lpwstr>
  </property>
</Properties>
</file>